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jpeg" Extension="jpeg"/>
  <Default ContentType="image/png" Extension="png"/>
  <Default ContentType="image/x-wmf" Extension="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jc w:val="center"/>
        <w:rPr>
          <w:rFonts w:eastAsia="方正小标宋简体"/>
          <w:sz w:val="42"/>
          <w:szCs w:val="42"/>
        </w:rPr>
      </w:pPr>
      <w:bookmarkStart w:id="0" w:name="_GoBack"/>
      <w:bookmarkEnd w:id="0"/>
      <w:r>
        <w:rPr>
          <w:rFonts w:ascii="Times New Roman" w:hAnsi="Times New Roman" w:eastAsia="仿宋" w:cs="Times New Roman"/>
          <w:kern w:val="2"/>
          <w:sz w:val="21"/>
          <w:lang w:val="en-US" w:eastAsia="zh-CN" w:bidi="ar-SA"/>
        </w:rPr>
        <w:pict>
          <v:shape id="图片 2" o:spid="_x0000_s1026" type="#_x0000_t75" style="position:absolute;left:0;margin-left:-81pt;margin-top:-98.85pt;height:379.1pt;width:592.85pt;rotation:0f;z-index:-251658240;" o:ole="f" fillcolor="#FFFFFF" filled="f" o:preferrelative="t" stroked="f" coordorigin="0,0" coordsize="21600,21600">
            <v:fill on="f" color2="#FFFFFF" focus="0%"/>
            <v:imagedata gain="65536f" blacklevel="0f" gamma="0" o:title="市委办文件" r:id="rId8"/>
            <o:lock v:ext="edit" position="f" selection="f" grouping="f" rotation="f" cropping="f" text="f" aspectratio="t"/>
          </v:shape>
        </w:pict>
      </w:r>
    </w:p>
    <w:p>
      <w:pPr>
        <w:spacing w:line="580" w:lineRule="exact"/>
        <w:jc w:val="center"/>
        <w:rPr>
          <w:rFonts w:eastAsia="方正小标宋简体"/>
          <w:sz w:val="42"/>
          <w:szCs w:val="42"/>
        </w:rPr>
      </w:pPr>
    </w:p>
    <w:p>
      <w:pPr>
        <w:spacing w:line="580" w:lineRule="exact"/>
        <w:jc w:val="center"/>
        <w:rPr>
          <w:rFonts w:eastAsia="方正小标宋简体"/>
          <w:sz w:val="42"/>
          <w:szCs w:val="42"/>
        </w:rPr>
      </w:pPr>
    </w:p>
    <w:p>
      <w:pPr>
        <w:spacing w:line="580" w:lineRule="exact"/>
        <w:jc w:val="center"/>
        <w:rPr>
          <w:rFonts w:eastAsia="方正小标宋简体"/>
          <w:sz w:val="42"/>
          <w:szCs w:val="42"/>
        </w:rPr>
      </w:pPr>
    </w:p>
    <w:p>
      <w:pPr>
        <w:spacing w:line="580" w:lineRule="exact"/>
        <w:jc w:val="center"/>
        <w:rPr>
          <w:rFonts w:eastAsia="方正小标宋简体"/>
          <w:sz w:val="42"/>
          <w:szCs w:val="42"/>
        </w:rPr>
      </w:pPr>
    </w:p>
    <w:p>
      <w:pPr>
        <w:spacing w:line="580" w:lineRule="exact"/>
        <w:jc w:val="center"/>
        <w:rPr>
          <w:rFonts w:eastAsia="方正小标宋简体"/>
          <w:sz w:val="42"/>
          <w:szCs w:val="42"/>
        </w:rPr>
      </w:pPr>
    </w:p>
    <w:p>
      <w:pPr>
        <w:spacing w:line="700" w:lineRule="exact"/>
        <w:jc w:val="center"/>
        <w:rPr>
          <w:rFonts w:eastAsia="方正小标宋简体"/>
          <w:sz w:val="42"/>
          <w:szCs w:val="42"/>
        </w:rPr>
      </w:pPr>
    </w:p>
    <w:p>
      <w:pPr>
        <w:jc w:val="center"/>
        <w:rPr>
          <w:rFonts w:eastAsia="仿宋_GB2312"/>
          <w:sz w:val="34"/>
          <w:szCs w:val="34"/>
        </w:rPr>
      </w:pPr>
      <w:r>
        <w:rPr>
          <w:rFonts w:eastAsia="仿宋_GB2312"/>
          <w:sz w:val="34"/>
          <w:szCs w:val="34"/>
        </w:rPr>
        <w:t>党办〔2019〕</w:t>
      </w:r>
      <w:r>
        <w:rPr>
          <w:rFonts w:hint="eastAsia" w:eastAsia="仿宋_GB2312"/>
          <w:sz w:val="34"/>
          <w:szCs w:val="34"/>
        </w:rPr>
        <w:t>8</w:t>
      </w:r>
      <w:r>
        <w:rPr>
          <w:rFonts w:eastAsia="仿宋_GB2312"/>
          <w:sz w:val="34"/>
          <w:szCs w:val="34"/>
        </w:rPr>
        <w:t>号</w:t>
      </w:r>
    </w:p>
    <w:p>
      <w:pPr>
        <w:spacing w:line="800" w:lineRule="exact"/>
        <w:jc w:val="center"/>
        <w:rPr>
          <w:rFonts w:eastAsia="方正小标宋简体"/>
          <w:sz w:val="42"/>
          <w:szCs w:val="42"/>
        </w:rPr>
      </w:pPr>
    </w:p>
    <w:p>
      <w:pPr>
        <w:spacing w:line="800" w:lineRule="exact"/>
        <w:jc w:val="center"/>
        <w:rPr>
          <w:rFonts w:eastAsia="方正小标宋简体"/>
          <w:sz w:val="42"/>
          <w:szCs w:val="42"/>
        </w:rPr>
      </w:pPr>
    </w:p>
    <w:p>
      <w:pPr>
        <w:spacing w:line="700" w:lineRule="exact"/>
        <w:jc w:val="center"/>
        <w:rPr>
          <w:rFonts w:eastAsia="方正小标宋简体"/>
          <w:spacing w:val="-11"/>
          <w:sz w:val="42"/>
          <w:szCs w:val="42"/>
        </w:rPr>
      </w:pPr>
      <w:r>
        <w:rPr>
          <w:rFonts w:eastAsia="方正小标宋简体"/>
          <w:spacing w:val="-11"/>
          <w:sz w:val="42"/>
          <w:szCs w:val="42"/>
        </w:rPr>
        <w:t>中共马鞍山市委办公室 马鞍山市人民政府办公室</w:t>
      </w:r>
    </w:p>
    <w:p>
      <w:pPr>
        <w:spacing w:line="700" w:lineRule="exact"/>
        <w:jc w:val="center"/>
        <w:outlineLvl w:val="0"/>
        <w:rPr>
          <w:rFonts w:eastAsia="方正小标宋简体"/>
          <w:snapToGrid w:val="0"/>
          <w:kern w:val="0"/>
          <w:sz w:val="42"/>
          <w:szCs w:val="42"/>
        </w:rPr>
      </w:pPr>
      <w:r>
        <w:rPr>
          <w:rFonts w:eastAsia="方正小标宋简体"/>
          <w:snapToGrid w:val="0"/>
          <w:kern w:val="0"/>
          <w:sz w:val="42"/>
          <w:szCs w:val="42"/>
        </w:rPr>
        <w:t>关于印发《马鞍山市县区、开发园区亩均效益</w:t>
      </w:r>
    </w:p>
    <w:p>
      <w:pPr>
        <w:spacing w:line="700" w:lineRule="exact"/>
        <w:jc w:val="center"/>
        <w:outlineLvl w:val="0"/>
        <w:rPr>
          <w:rFonts w:eastAsia="方正小标宋简体"/>
          <w:sz w:val="44"/>
          <w:szCs w:val="44"/>
        </w:rPr>
      </w:pPr>
      <w:r>
        <w:rPr>
          <w:rFonts w:eastAsia="方正小标宋简体"/>
          <w:snapToGrid w:val="0"/>
          <w:kern w:val="0"/>
          <w:sz w:val="42"/>
          <w:szCs w:val="42"/>
        </w:rPr>
        <w:t>评价实施办法（试行）》</w:t>
      </w:r>
      <w:r>
        <w:rPr>
          <w:rFonts w:eastAsia="方正小标宋简体"/>
          <w:sz w:val="44"/>
          <w:szCs w:val="44"/>
        </w:rPr>
        <w:t>《马鞍山市企业</w:t>
      </w:r>
    </w:p>
    <w:p>
      <w:pPr>
        <w:spacing w:line="700" w:lineRule="exact"/>
        <w:jc w:val="center"/>
        <w:outlineLvl w:val="0"/>
        <w:rPr>
          <w:rFonts w:eastAsia="方正小标宋简体"/>
          <w:snapToGrid w:val="0"/>
          <w:kern w:val="0"/>
          <w:sz w:val="42"/>
          <w:szCs w:val="42"/>
        </w:rPr>
      </w:pPr>
      <w:r>
        <w:rPr>
          <w:rFonts w:eastAsia="方正小标宋简体"/>
          <w:sz w:val="44"/>
          <w:szCs w:val="44"/>
        </w:rPr>
        <w:t>亩均效益评价实施办法（试行）》</w:t>
      </w:r>
      <w:r>
        <w:rPr>
          <w:rFonts w:eastAsia="方正小标宋简体"/>
          <w:snapToGrid w:val="0"/>
          <w:kern w:val="0"/>
          <w:sz w:val="42"/>
          <w:szCs w:val="42"/>
        </w:rPr>
        <w:t>的</w:t>
      </w:r>
    </w:p>
    <w:p>
      <w:pPr>
        <w:spacing w:line="700" w:lineRule="exact"/>
        <w:jc w:val="center"/>
        <w:outlineLvl w:val="0"/>
        <w:rPr>
          <w:rFonts w:eastAsia="方正小标宋简体"/>
          <w:snapToGrid w:val="0"/>
          <w:kern w:val="0"/>
          <w:sz w:val="42"/>
          <w:szCs w:val="42"/>
        </w:rPr>
      </w:pPr>
      <w:r>
        <w:rPr>
          <w:rFonts w:eastAsia="方正小标宋简体"/>
          <w:snapToGrid w:val="0"/>
          <w:kern w:val="0"/>
          <w:sz w:val="42"/>
          <w:szCs w:val="42"/>
        </w:rPr>
        <w:t>通        知</w:t>
      </w:r>
    </w:p>
    <w:p>
      <w:pPr>
        <w:adjustRightInd w:val="0"/>
        <w:snapToGrid w:val="0"/>
        <w:spacing w:line="660" w:lineRule="exact"/>
        <w:rPr>
          <w:rFonts w:eastAsia="楷体_GB2312"/>
          <w:snapToGrid w:val="0"/>
          <w:kern w:val="0"/>
          <w:sz w:val="31"/>
          <w:szCs w:val="31"/>
        </w:rPr>
      </w:pPr>
    </w:p>
    <w:p>
      <w:pPr>
        <w:adjustRightInd w:val="0"/>
        <w:snapToGrid w:val="0"/>
        <w:spacing w:line="660" w:lineRule="exact"/>
        <w:rPr>
          <w:rFonts w:eastAsia="楷体_GB2312"/>
          <w:snapToGrid w:val="0"/>
          <w:kern w:val="0"/>
          <w:sz w:val="31"/>
          <w:szCs w:val="31"/>
        </w:rPr>
      </w:pPr>
      <w:r>
        <w:rPr>
          <w:rFonts w:eastAsia="楷体_GB2312"/>
          <w:snapToGrid w:val="0"/>
          <w:kern w:val="0"/>
          <w:sz w:val="31"/>
          <w:szCs w:val="31"/>
        </w:rPr>
        <w:t>各县、区委和人民政府，市直各部门，各企事业单位：</w:t>
      </w:r>
    </w:p>
    <w:p>
      <w:pPr>
        <w:adjustRightInd w:val="0"/>
        <w:snapToGrid w:val="0"/>
        <w:spacing w:line="660" w:lineRule="exact"/>
        <w:ind w:firstLine="620" w:firstLineChars="200"/>
        <w:rPr>
          <w:rFonts w:eastAsia="楷体_GB2312"/>
          <w:snapToGrid w:val="0"/>
          <w:kern w:val="0"/>
          <w:sz w:val="31"/>
          <w:szCs w:val="31"/>
        </w:rPr>
      </w:pPr>
      <w:r>
        <w:rPr>
          <w:rFonts w:eastAsia="楷体_GB2312"/>
          <w:snapToGrid w:val="0"/>
          <w:kern w:val="0"/>
          <w:sz w:val="31"/>
          <w:szCs w:val="31"/>
        </w:rPr>
        <w:t>《马鞍山市县区、开发园区亩均效益评价实施办法（试行）》《马鞍山市企业亩均效益评价实施办法（试行）》已经市委、市政府同意，现印发给你们，请认真贯彻落实。</w:t>
      </w:r>
    </w:p>
    <w:p>
      <w:pPr>
        <w:adjustRightInd w:val="0"/>
        <w:snapToGrid w:val="0"/>
        <w:spacing w:line="900" w:lineRule="exact"/>
        <w:ind w:firstLine="620" w:firstLineChars="200"/>
        <w:rPr>
          <w:rFonts w:eastAsia="楷体_GB2312"/>
          <w:snapToGrid w:val="0"/>
          <w:kern w:val="0"/>
          <w:sz w:val="31"/>
          <w:szCs w:val="31"/>
        </w:rPr>
      </w:pPr>
      <w:r>
        <w:rPr>
          <w:rFonts w:ascii="Times New Roman" w:hAnsi="Times New Roman" w:eastAsia="楷体_GB2312" w:cs="Times New Roman"/>
          <w:kern w:val="0"/>
          <w:sz w:val="31"/>
          <w:szCs w:val="31"/>
          <w:lang w:val="en-US" w:eastAsia="zh-CN" w:bidi="ar-SA"/>
        </w:rPr>
        <w:pict>
          <v:rect id="KGD_5CD9362D$01$29$00011" o:spid="_x0000_s1027" alt="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style="position:absolute;left:0;margin-left:-10pt;margin-top:10pt;height:5pt;width:5.1pt;rotation:0f;visibility:hidden;z-index:251666432;"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15" o:spid="_x0000_s1028" alt="63u/HB41BZxl3VJzLt+gv72Z05kg+cZN" style="position:absolute;left:0;margin-left:-10pt;margin-top:10pt;height:5pt;width:5.1pt;rotation:0f;visibility:hidden;z-index:251665408;"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14" o:spid="_x0000_s1029" alt="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" style="position:absolute;left:0;margin-left:-10pt;margin-top:10pt;height:5pt;width:5.1pt;rotation:0f;visibility:hidden;z-index:251664384;"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13" o:spid="_x0000_s1030" alt="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" style="position:absolute;left:0;margin-left:-10pt;margin-top:10pt;height:5pt;width:5.1pt;rotation:0f;visibility:hidden;z-index:251663360;"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12" o:spid="_x0000_s1031" alt="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" style="position:absolute;left:0;margin-left:-10pt;margin-top:10pt;height:5pt;width:5.1pt;rotation:0f;visibility:hidden;z-index:251662336;"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11" o:spid="_x0000_s1032" alt="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" style="position:absolute;left:0;margin-left:-10pt;margin-top:10pt;height:5pt;width:5.1pt;rotation:0f;visibility:hidden;z-index:251661312;"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Gobal1" o:spid="_x0000_s1033" alt="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" style="position:absolute;left:0;margin-left:-10pt;margin-top:10pt;height:5pt;width:5.1pt;rotation:0f;visibility:hidden;z-index:251660288;"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p>
    <w:p>
      <w:pPr>
        <w:adjustRightInd w:val="0"/>
        <w:snapToGrid w:val="0"/>
        <w:spacing w:line="900" w:lineRule="exact"/>
        <w:ind w:firstLine="620" w:firstLineChars="200"/>
        <w:rPr>
          <w:rFonts w:eastAsia="楷体_GB2312"/>
          <w:snapToGrid w:val="0"/>
          <w:kern w:val="0"/>
          <w:sz w:val="31"/>
          <w:szCs w:val="31"/>
        </w:rPr>
      </w:pPr>
      <w:r>
        <w:rPr>
          <w:rFonts w:ascii="Times New Roman" w:hAnsi="Times New Roman" w:eastAsia="楷体_GB2312" w:cs="Times New Roman"/>
          <w:kern w:val="0"/>
          <w:sz w:val="31"/>
          <w:szCs w:val="31"/>
          <w:lang w:val="en-US" w:eastAsia="zh-CN" w:bidi="ar-SA"/>
        </w:rPr>
        <w:pict>
          <v:rect id="KG_Shd_2" o:spid="_x0000_s1034" style="position:absolute;left:0;margin-left:-297.65pt;margin-top:-420.95pt;height:1584pt;width:1190.6pt;rotation:0f;z-index:251673600;" o:ole="f" fillcolor="#FFFFFF" filled="t" o:preferrelative="t" stroked="t" coordsize="21600,21600">
            <v:fill opacity="0%" focus="0%"/>
            <v:stroke color="#FFFFFF" color2="#FFFFFF" opacity="0%"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shape id="KG_5CD9362D$01$29$0001$N$000200" o:spid="_x0000_s1035" type="#_x0000_t75" style="position:absolute;left:0;margin-left:169.05pt;margin-top:161.45pt;height:113.35pt;width:113.35pt;mso-position-horizontal-relative:page;mso-position-vertical-relative:page;rotation:0f;z-index:251659264;" o:ole="f" fillcolor="#FFFFFF" filled="f" o:preferrelative="t" stroked="f" coordorigin="0,0" coordsize="21600,21600">
            <v:fill on="f" color2="#FFFFFF" focus="0%"/>
            <v:imagedata gain="65536f" blacklevel="0f" gamma="0" o:title="Seal" r:id="rId9"/>
            <o:lock v:ext="edit" position="f" selection="f" grouping="f" rotation="f" cropping="f" text="f" aspectratio="t"/>
            <w10:anchorlock/>
          </v:shape>
        </w:pict>
      </w:r>
    </w:p>
    <w:p>
      <w:pPr>
        <w:adjustRightInd w:val="0"/>
        <w:snapToGrid w:val="0"/>
        <w:spacing w:line="580" w:lineRule="exact"/>
        <w:ind w:firstLine="1240" w:firstLineChars="400"/>
        <w:rPr>
          <w:rFonts w:eastAsia="楷体_GB2312"/>
          <w:snapToGrid w:val="0"/>
          <w:kern w:val="0"/>
          <w:sz w:val="31"/>
          <w:szCs w:val="31"/>
        </w:rPr>
      </w:pPr>
      <w:r>
        <w:rPr>
          <w:rFonts w:ascii="Times New Roman" w:hAnsi="Times New Roman" w:eastAsia="楷体_GB2312" w:cs="Times New Roman"/>
          <w:kern w:val="0"/>
          <w:sz w:val="31"/>
          <w:szCs w:val="31"/>
          <w:lang w:val="en-US" w:eastAsia="zh-CN" w:bidi="ar-SA"/>
        </w:rPr>
        <w:pict>
          <v:rect id="KGD_5CD9374C$01$29$00021" o:spid="_x0000_s1036" alt="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3NaTY4E5mjYNcTBnNCrPDNUkKm4Lv9IRa1BHOAsFHSQs65v+C2f4XxKbJ1IqLBYe29POw1yDNhs09bXNSwGab51lZqPcYW5gLBbwUYdl5q7Yhlsx6rioEQ7KavJVb57kaPq4ioVdd9hGLsMczWTmwbiIRXCnfzDutAVgevTWJzZJvTD9YbVvdswhZFUI4a8W6aCPFGxnE0A2pKDyodOF3pshNnRlQWk84sKn5mHFisq08scnTPz727UZK9f6dQ7ac5tA5/GBwW+dt48xmfiWdQCN/wI0RQx0P4LXyrKUWvBqZVX162SjTvxqBeHybYlt80OOlxgaS7ihrBuOuEXT02nNObTpSfq5DMq13Lu3muGqWg32raZUM4TR/w+vyjUtdYTv+wMk/xGhIgkZZZLDDCNysqYv8J2uWgOa+zMg1r4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margin-left:-10pt;margin-top:10pt;height:5pt;width:5.1pt;rotation:0f;visibility:hidden;z-index:251672576;"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24" o:spid="_x0000_s1037" alt="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" style="position:absolute;left:0;margin-left:-10pt;margin-top:10pt;height:5pt;width:5.1pt;rotation:0f;visibility:hidden;z-index:251671552;"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23" o:spid="_x0000_s1038" alt="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" style="position:absolute;left:0;margin-left:-10pt;margin-top:10pt;height:5pt;width:5.1pt;rotation:0f;visibility:hidden;z-index:251670528;"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22" o:spid="_x0000_s1039" alt="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" style="position:absolute;left:0;margin-left:-10pt;margin-top:10pt;height:5pt;width:5.1pt;rotation:0f;visibility:hidden;z-index:251669504;"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ascii="Times New Roman" w:hAnsi="Times New Roman" w:eastAsia="楷体_GB2312" w:cs="Times New Roman"/>
          <w:kern w:val="0"/>
          <w:sz w:val="31"/>
          <w:szCs w:val="31"/>
          <w:lang w:val="en-US" w:eastAsia="zh-CN" w:bidi="ar-SA"/>
        </w:rPr>
        <w:pict>
          <v:rect id="KGD_KG_Seal_21" o:spid="_x0000_s1040" alt="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" style="position:absolute;left:0;margin-left:-10pt;margin-top:10pt;height:5pt;width:5.1pt;rotation:0f;visibility:hidden;z-index:251668480;" o:ole="f" fillcolor="#9CBEE0" filled="t" o:preferrelative="t" stroked="t" coordsize="21600,21600">
            <v:fill type="gradient" on="t" color2="#BBD5F0" focus="0%" focussize="0f,0f" focusposition="0f,0f"/>
            <v:stroke color="#739CC3" color2="#FFFFFF" miterlimit="2"/>
            <v:imagedata gain="65536f" blacklevel="0f" gamma="0"/>
            <o:lock v:ext="edit" position="f" selection="f" grouping="f" rotation="f" cropping="f" text="f" aspectratio="f"/>
          </v:rect>
        </w:pict>
      </w:r>
      <w:r>
        <w:rPr>
          <w:rFonts w:eastAsia="楷体_GB2312"/>
          <w:snapToGrid w:val="0"/>
          <w:kern w:val="0"/>
          <w:sz w:val="31"/>
          <w:szCs w:val="31"/>
        </w:rPr>
        <w:t>中共马鞍山市委办公室    马鞍山市人</w:t>
      </w:r>
      <w:r>
        <w:rPr>
          <w:rFonts w:ascii="Times New Roman" w:hAnsi="Times New Roman" w:eastAsia="楷体_GB2312" w:cs="Times New Roman"/>
          <w:kern w:val="0"/>
          <w:sz w:val="31"/>
          <w:szCs w:val="31"/>
          <w:lang w:val="en-US" w:eastAsia="zh-CN" w:bidi="ar-SA"/>
        </w:rPr>
        <w:pict>
          <v:shape id="KG_5CD9374C$01$29$0002$N$000200" o:spid="_x0000_s1041" type="#_x0000_t75" style="position:absolute;left:0;margin-left:350.5pt;margin-top:168.25pt;height:113.35pt;width:113.35pt;mso-position-horizontal-relative:page;mso-position-vertical-relative:page;rotation:0f;z-index:251667456;" o:ole="f" fillcolor="#FFFFFF" filled="f" o:preferrelative="t" stroked="f" coordorigin="0,0" coordsize="21600,21600">
            <v:fill on="f" color2="#FFFFFF" focus="0%"/>
            <v:imagedata gain="65536f" blacklevel="0f" gamma="0" o:title="Seal" r:id="rId10"/>
            <o:lock v:ext="edit" position="f" selection="f" grouping="f" rotation="f" cropping="f" text="f" aspectratio="t"/>
            <w10:anchorlock/>
          </v:shape>
        </w:pict>
      </w:r>
      <w:r>
        <w:rPr>
          <w:rFonts w:eastAsia="楷体_GB2312"/>
          <w:snapToGrid w:val="0"/>
          <w:kern w:val="0"/>
          <w:sz w:val="31"/>
          <w:szCs w:val="31"/>
        </w:rPr>
        <w:t>民政府办公室</w:t>
      </w:r>
    </w:p>
    <w:p>
      <w:pPr>
        <w:adjustRightInd w:val="0"/>
        <w:snapToGrid w:val="0"/>
        <w:spacing w:line="580" w:lineRule="exact"/>
        <w:ind w:right="840" w:rightChars="400" w:firstLine="620" w:firstLineChars="200"/>
        <w:jc w:val="right"/>
        <w:rPr>
          <w:rFonts w:eastAsia="楷体_GB2312"/>
          <w:snapToGrid w:val="0"/>
          <w:kern w:val="0"/>
          <w:sz w:val="31"/>
          <w:szCs w:val="31"/>
        </w:rPr>
      </w:pPr>
      <w:r>
        <w:rPr>
          <w:rFonts w:eastAsia="楷体_GB2312"/>
          <w:snapToGrid w:val="0"/>
          <w:kern w:val="0"/>
          <w:sz w:val="31"/>
          <w:szCs w:val="31"/>
        </w:rPr>
        <w:t>2019年5月</w:t>
      </w:r>
      <w:r>
        <w:rPr>
          <w:rFonts w:hint="eastAsia" w:eastAsia="楷体_GB2312"/>
          <w:snapToGrid w:val="0"/>
          <w:kern w:val="0"/>
          <w:sz w:val="31"/>
          <w:szCs w:val="31"/>
        </w:rPr>
        <w:t>10</w:t>
      </w:r>
      <w:r>
        <w:rPr>
          <w:rFonts w:eastAsia="楷体_GB2312"/>
          <w:snapToGrid w:val="0"/>
          <w:kern w:val="0"/>
          <w:sz w:val="31"/>
          <w:szCs w:val="31"/>
        </w:rPr>
        <w:t>日</w:t>
      </w:r>
    </w:p>
    <w:p>
      <w:pPr>
        <w:adjustRightInd w:val="0"/>
        <w:snapToGrid w:val="0"/>
        <w:spacing w:line="580" w:lineRule="exact"/>
        <w:jc w:val="center"/>
        <w:rPr>
          <w:rFonts w:eastAsia="楷体_GB2312"/>
          <w:snapToGrid w:val="0"/>
          <w:kern w:val="0"/>
          <w:sz w:val="31"/>
          <w:szCs w:val="31"/>
        </w:rPr>
      </w:pPr>
    </w:p>
    <w:p>
      <w:pPr>
        <w:adjustRightInd w:val="0"/>
        <w:snapToGrid w:val="0"/>
        <w:spacing w:line="580" w:lineRule="exact"/>
        <w:jc w:val="center"/>
        <w:rPr>
          <w:rFonts w:eastAsia="方正小标宋简体"/>
          <w:snapToGrid w:val="0"/>
          <w:kern w:val="0"/>
          <w:sz w:val="44"/>
          <w:szCs w:val="44"/>
        </w:rPr>
      </w:pPr>
    </w:p>
    <w:p>
      <w:pPr>
        <w:adjustRightInd w:val="0"/>
        <w:snapToGrid w:val="0"/>
        <w:spacing w:line="580" w:lineRule="exact"/>
        <w:jc w:val="center"/>
        <w:rPr>
          <w:rFonts w:eastAsia="方正小标宋简体"/>
          <w:snapToGrid w:val="0"/>
          <w:kern w:val="0"/>
          <w:sz w:val="44"/>
          <w:szCs w:val="44"/>
        </w:rPr>
      </w:pPr>
    </w:p>
    <w:p>
      <w:pPr>
        <w:adjustRightInd w:val="0"/>
        <w:snapToGrid w:val="0"/>
        <w:spacing w:line="580" w:lineRule="exact"/>
        <w:jc w:val="center"/>
        <w:rPr>
          <w:rFonts w:eastAsia="方正小标宋简体"/>
          <w:snapToGrid w:val="0"/>
          <w:kern w:val="0"/>
          <w:sz w:val="44"/>
          <w:szCs w:val="44"/>
        </w:rPr>
      </w:pPr>
    </w:p>
    <w:p>
      <w:pPr>
        <w:adjustRightInd w:val="0"/>
        <w:snapToGrid w:val="0"/>
        <w:spacing w:line="580" w:lineRule="exact"/>
        <w:jc w:val="center"/>
        <w:rPr>
          <w:rFonts w:eastAsia="方正小标宋简体"/>
          <w:snapToGrid w:val="0"/>
          <w:kern w:val="0"/>
          <w:sz w:val="44"/>
          <w:szCs w:val="44"/>
        </w:rPr>
      </w:pPr>
    </w:p>
    <w:p>
      <w:pPr>
        <w:adjustRightInd w:val="0"/>
        <w:snapToGrid w:val="0"/>
        <w:spacing w:line="580" w:lineRule="exact"/>
        <w:jc w:val="center"/>
        <w:rPr>
          <w:rFonts w:eastAsia="方正小标宋简体"/>
          <w:snapToGrid w:val="0"/>
          <w:kern w:val="0"/>
          <w:sz w:val="44"/>
          <w:szCs w:val="44"/>
        </w:rPr>
      </w:pPr>
    </w:p>
    <w:p>
      <w:pPr>
        <w:widowControl/>
        <w:jc w:val="left"/>
        <w:rPr>
          <w:rFonts w:eastAsia="方正小标宋简体"/>
          <w:snapToGrid w:val="0"/>
          <w:kern w:val="0"/>
          <w:sz w:val="44"/>
          <w:szCs w:val="44"/>
        </w:rPr>
      </w:pPr>
      <w:r>
        <w:rPr>
          <w:rFonts w:eastAsia="方正小标宋简体"/>
          <w:snapToGrid w:val="0"/>
          <w:kern w:val="0"/>
          <w:sz w:val="44"/>
          <w:szCs w:val="44"/>
        </w:rPr>
        <w:br w:type="page"/>
      </w:r>
    </w:p>
    <w:p>
      <w:pPr>
        <w:adjustRightInd w:val="0"/>
        <w:snapToGrid w:val="0"/>
        <w:spacing w:line="640" w:lineRule="exact"/>
        <w:jc w:val="center"/>
        <w:rPr>
          <w:rFonts w:eastAsia="方正小标宋简体"/>
          <w:snapToGrid w:val="0"/>
          <w:kern w:val="0"/>
          <w:sz w:val="42"/>
          <w:szCs w:val="42"/>
        </w:rPr>
      </w:pPr>
      <w:r>
        <w:rPr>
          <w:rFonts w:eastAsia="方正小标宋简体"/>
          <w:snapToGrid w:val="0"/>
          <w:kern w:val="0"/>
          <w:sz w:val="42"/>
          <w:szCs w:val="42"/>
        </w:rPr>
        <w:t>马鞍山市县区、开发园区亩均效益评价</w:t>
      </w:r>
    </w:p>
    <w:p>
      <w:pPr>
        <w:adjustRightInd w:val="0"/>
        <w:snapToGrid w:val="0"/>
        <w:spacing w:line="640" w:lineRule="exact"/>
        <w:jc w:val="center"/>
        <w:rPr>
          <w:rFonts w:eastAsia="方正小标宋简体"/>
          <w:snapToGrid w:val="0"/>
          <w:kern w:val="0"/>
          <w:sz w:val="42"/>
          <w:szCs w:val="42"/>
        </w:rPr>
      </w:pPr>
      <w:r>
        <w:rPr>
          <w:rFonts w:eastAsia="方正小标宋简体"/>
          <w:snapToGrid w:val="0"/>
          <w:kern w:val="0"/>
          <w:sz w:val="42"/>
          <w:szCs w:val="42"/>
        </w:rPr>
        <w:t>实施办法（试行）</w:t>
      </w:r>
    </w:p>
    <w:p>
      <w:pPr>
        <w:adjustRightInd w:val="0"/>
        <w:snapToGrid w:val="0"/>
        <w:spacing w:beforeLines="100" w:afterLines="100" w:line="600" w:lineRule="exact"/>
        <w:jc w:val="center"/>
        <w:rPr>
          <w:rFonts w:eastAsia="黑体"/>
          <w:snapToGrid w:val="0"/>
          <w:kern w:val="0"/>
          <w:sz w:val="31"/>
          <w:szCs w:val="31"/>
        </w:rPr>
      </w:pPr>
      <w:r>
        <w:rPr>
          <w:rFonts w:eastAsia="黑体"/>
          <w:snapToGrid w:val="0"/>
          <w:kern w:val="0"/>
          <w:sz w:val="31"/>
          <w:szCs w:val="31"/>
        </w:rPr>
        <w:t>第一章  总则</w:t>
      </w:r>
    </w:p>
    <w:p>
      <w:pPr>
        <w:adjustRightInd w:val="0"/>
        <w:snapToGrid w:val="0"/>
        <w:spacing w:line="600" w:lineRule="exact"/>
        <w:ind w:firstLine="620" w:firstLineChars="200"/>
        <w:rPr>
          <w:rFonts w:eastAsia="仿宋_GB2312"/>
          <w:snapToGrid w:val="0"/>
          <w:kern w:val="0"/>
          <w:sz w:val="31"/>
          <w:szCs w:val="31"/>
        </w:rPr>
      </w:pPr>
      <w:r>
        <w:rPr>
          <w:rFonts w:hint="eastAsia" w:ascii="楷体_GB2312" w:hAnsi="黑体" w:eastAsia="楷体_GB2312"/>
          <w:snapToGrid w:val="0"/>
          <w:kern w:val="0"/>
          <w:sz w:val="31"/>
          <w:szCs w:val="31"/>
        </w:rPr>
        <w:t>第一条</w:t>
      </w:r>
      <w:r>
        <w:rPr>
          <w:rFonts w:eastAsia="楷体_GB2312"/>
          <w:snapToGrid w:val="0"/>
          <w:kern w:val="0"/>
          <w:sz w:val="31"/>
          <w:szCs w:val="31"/>
        </w:rPr>
        <w:t xml:space="preserve"> </w:t>
      </w:r>
      <w:r>
        <w:rPr>
          <w:rFonts w:eastAsia="仿宋_GB2312"/>
          <w:snapToGrid w:val="0"/>
          <w:kern w:val="0"/>
          <w:sz w:val="31"/>
          <w:szCs w:val="31"/>
        </w:rPr>
        <w:t xml:space="preserve"> 根据中共马鞍山市委、马鞍山市人民政府《关于大力优化营商环境支持企业发展的若干意见》（马发〔2019〕1号）有关要求，为科学评价全市县区、开发园区亩均效益，促进县区、开发园区高质量发展，特制定本办法。</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第二条</w:t>
      </w:r>
      <w:r>
        <w:rPr>
          <w:rFonts w:eastAsia="楷体_GB2312"/>
          <w:snapToGrid w:val="0"/>
          <w:kern w:val="0"/>
          <w:sz w:val="31"/>
          <w:szCs w:val="31"/>
        </w:rPr>
        <w:t xml:space="preserve">  </w:t>
      </w:r>
      <w:r>
        <w:rPr>
          <w:rFonts w:eastAsia="仿宋_GB2312"/>
          <w:snapToGrid w:val="0"/>
          <w:kern w:val="0"/>
          <w:sz w:val="31"/>
          <w:szCs w:val="31"/>
        </w:rPr>
        <w:t>本办法评价对象包括含山县、和县、当涂县、花山区、雨山区、博望区（以下简称“县区”），市经开区（示范园区）、慈湖高新区、郑蒲港新区（以下简称“开发园区”），分县、区、开发园区三种类型，分类实施评价。</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第三条</w:t>
      </w:r>
      <w:r>
        <w:rPr>
          <w:rFonts w:eastAsia="仿宋_GB2312"/>
          <w:snapToGrid w:val="0"/>
          <w:kern w:val="0"/>
          <w:sz w:val="31"/>
          <w:szCs w:val="31"/>
        </w:rPr>
        <w:t xml:space="preserve">  本办法适用于全市县区、开发园区亩均效益评价的指标体系设定、信息收集、评价结果运用。</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第四条</w:t>
      </w:r>
      <w:r>
        <w:rPr>
          <w:rFonts w:eastAsia="仿宋_GB2312"/>
          <w:snapToGrid w:val="0"/>
          <w:kern w:val="0"/>
          <w:sz w:val="31"/>
          <w:szCs w:val="31"/>
        </w:rPr>
        <w:t xml:space="preserve">  本办法适用于县区管省级开发园区亩均效益评价，评价工作由县区自行组织实施。</w:t>
      </w:r>
    </w:p>
    <w:p>
      <w:pPr>
        <w:adjustRightInd w:val="0"/>
        <w:snapToGrid w:val="0"/>
        <w:spacing w:beforeLines="100" w:afterLines="100" w:line="600" w:lineRule="exact"/>
        <w:jc w:val="center"/>
        <w:rPr>
          <w:rFonts w:eastAsia="黑体"/>
          <w:snapToGrid w:val="0"/>
          <w:kern w:val="0"/>
          <w:sz w:val="31"/>
          <w:szCs w:val="31"/>
        </w:rPr>
      </w:pPr>
      <w:r>
        <w:rPr>
          <w:rFonts w:eastAsia="黑体"/>
          <w:snapToGrid w:val="0"/>
          <w:kern w:val="0"/>
          <w:sz w:val="31"/>
          <w:szCs w:val="31"/>
        </w:rPr>
        <w:t>第二章  评价原则</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第五条</w:t>
      </w:r>
      <w:r>
        <w:rPr>
          <w:rFonts w:eastAsia="楷体_GB2312"/>
          <w:snapToGrid w:val="0"/>
          <w:kern w:val="0"/>
          <w:sz w:val="31"/>
          <w:szCs w:val="31"/>
        </w:rPr>
        <w:t xml:space="preserve">  </w:t>
      </w:r>
      <w:r>
        <w:rPr>
          <w:rFonts w:eastAsia="仿宋_GB2312"/>
          <w:snapToGrid w:val="0"/>
          <w:kern w:val="0"/>
          <w:sz w:val="31"/>
          <w:szCs w:val="31"/>
        </w:rPr>
        <w:t>市发改委负责组织实施县区、开发园区亩均效益评价工作。市直有关部门要加强对县区、开发园区经济发展的宏观指导和服务，保证评价工作的公平、公正、公开。</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第六条</w:t>
      </w:r>
      <w:r>
        <w:rPr>
          <w:rFonts w:eastAsia="仿宋_GB2312"/>
          <w:snapToGrid w:val="0"/>
          <w:kern w:val="0"/>
          <w:sz w:val="31"/>
          <w:szCs w:val="31"/>
        </w:rPr>
        <w:t xml:space="preserve">  亩均效益评价指标体系要认真落实省、市关于推动经济高质量发展的部署要求，树立效益优先的政策导向，切实做到“以亩产论英雄”。</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（一）统一性原则。对全市县区、开发园区的亩均效益评价采用统一的指标体系。</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（二）规范性原则。按照相关部门的规范性定义对亩均效益评价指标进行解释。</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（三）真实性原则。亩均效益评价数据需真实有效，不得弄虚作假。</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（四）激励性原则。亩均效益评价要着重激励县区、开发园区提高资源要素使用效率，加快新旧动能转换，不断提升发展质量和亩均效益。</w:t>
      </w:r>
    </w:p>
    <w:p>
      <w:pPr>
        <w:adjustRightInd w:val="0"/>
        <w:snapToGrid w:val="0"/>
        <w:spacing w:beforeLines="100" w:afterLines="100" w:line="600" w:lineRule="exact"/>
        <w:jc w:val="center"/>
        <w:rPr>
          <w:rFonts w:eastAsia="黑体"/>
          <w:snapToGrid w:val="0"/>
          <w:kern w:val="0"/>
          <w:sz w:val="31"/>
          <w:szCs w:val="31"/>
        </w:rPr>
      </w:pPr>
      <w:r>
        <w:rPr>
          <w:rFonts w:eastAsia="黑体"/>
          <w:snapToGrid w:val="0"/>
          <w:kern w:val="0"/>
          <w:sz w:val="31"/>
          <w:szCs w:val="31"/>
        </w:rPr>
        <w:t>第三章  指标体系</w:t>
      </w:r>
    </w:p>
    <w:p>
      <w:pPr>
        <w:widowControl/>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第七条</w:t>
      </w:r>
      <w:r>
        <w:rPr>
          <w:rFonts w:eastAsia="楷体_GB2312"/>
          <w:snapToGrid w:val="0"/>
          <w:kern w:val="0"/>
          <w:sz w:val="31"/>
          <w:szCs w:val="31"/>
        </w:rPr>
        <w:t xml:space="preserve">  </w:t>
      </w:r>
      <w:r>
        <w:rPr>
          <w:rFonts w:eastAsia="仿宋_GB2312"/>
          <w:snapToGrid w:val="0"/>
          <w:kern w:val="0"/>
          <w:sz w:val="31"/>
          <w:szCs w:val="31"/>
        </w:rPr>
        <w:t>亩均效益评价指标体系设定为：规模以上工业企业亩均税收（万元/亩）、工业固定资产投资亩均强度（万元/亩）、规模以上工业企业亩均主营业务收入（万元/亩）、规模以上工业企业研究与试验发展经费支出占规模以上工业企业营业收入比重（%）、单位能耗增加值（万元/吨标煤）等5项指标，总权数100，具体见附件。</w:t>
      </w:r>
    </w:p>
    <w:p>
      <w:pPr>
        <w:widowControl/>
        <w:jc w:val="left"/>
        <w:rPr>
          <w:rFonts w:eastAsia="黑体"/>
          <w:snapToGrid w:val="0"/>
          <w:kern w:val="0"/>
          <w:sz w:val="31"/>
          <w:szCs w:val="31"/>
        </w:rPr>
      </w:pPr>
      <w:r>
        <w:rPr>
          <w:rFonts w:eastAsia="黑体"/>
          <w:snapToGrid w:val="0"/>
          <w:kern w:val="0"/>
          <w:sz w:val="31"/>
          <w:szCs w:val="31"/>
        </w:rPr>
        <w:br w:type="page"/>
      </w:r>
    </w:p>
    <w:p>
      <w:pPr>
        <w:adjustRightInd w:val="0"/>
        <w:snapToGrid w:val="0"/>
        <w:spacing w:beforeLines="100" w:afterLines="100" w:line="580" w:lineRule="exact"/>
        <w:jc w:val="center"/>
        <w:rPr>
          <w:rFonts w:eastAsia="黑体"/>
          <w:snapToGrid w:val="0"/>
          <w:kern w:val="0"/>
          <w:sz w:val="31"/>
          <w:szCs w:val="31"/>
        </w:rPr>
      </w:pPr>
      <w:r>
        <w:rPr>
          <w:rFonts w:eastAsia="黑体"/>
          <w:snapToGrid w:val="0"/>
          <w:kern w:val="0"/>
          <w:sz w:val="31"/>
          <w:szCs w:val="31"/>
        </w:rPr>
        <w:t>县区、开发园区亩均效益评价指标体系</w:t>
      </w:r>
    </w:p>
    <w:tbl>
      <w:tblPr>
        <w:tblpPr w:leftFromText="180" w:rightFromText="180" w:vertAnchor="text" w:horzAnchor="page" w:tblpXSpec="center" w:tblpY="236"/>
        <w:tblOverlap w:val="never"/>
        <w:tblW w:w="8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5245"/>
        <w:gridCol w:w="15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9" w:hRule="atLeast"/>
        </w:trPr>
        <w:tc>
          <w:tcPr>
            <w:tcW w:w="675" w:type="dxa"/>
            <w:vAlign w:val="center"/>
          </w:tcPr>
          <w:p>
            <w:pPr>
              <w:widowControl/>
              <w:tabs>
                <w:tab w:val="left" w:pos="747"/>
              </w:tabs>
              <w:adjustRightInd w:val="0"/>
              <w:snapToGrid w:val="0"/>
              <w:spacing w:line="300" w:lineRule="exact"/>
              <w:jc w:val="center"/>
              <w:rPr>
                <w:rFonts w:eastAsia="黑体"/>
                <w:bCs/>
                <w:snapToGrid w:val="0"/>
                <w:kern w:val="0"/>
                <w:sz w:val="24"/>
                <w:szCs w:val="24"/>
              </w:rPr>
            </w:pPr>
            <w:r>
              <w:rPr>
                <w:rFonts w:eastAsia="黑体"/>
                <w:bCs/>
                <w:snapToGrid w:val="0"/>
                <w:kern w:val="0"/>
                <w:sz w:val="24"/>
                <w:szCs w:val="24"/>
              </w:rPr>
              <w:t>序号</w:t>
            </w:r>
          </w:p>
        </w:tc>
        <w:tc>
          <w:tcPr>
            <w:tcW w:w="5245" w:type="dxa"/>
            <w:vAlign w:val="center"/>
          </w:tcPr>
          <w:p>
            <w:pPr>
              <w:widowControl/>
              <w:tabs>
                <w:tab w:val="left" w:pos="747"/>
              </w:tabs>
              <w:adjustRightInd w:val="0"/>
              <w:snapToGrid w:val="0"/>
              <w:spacing w:line="300" w:lineRule="exact"/>
              <w:jc w:val="center"/>
              <w:rPr>
                <w:rFonts w:eastAsia="黑体"/>
                <w:bCs/>
                <w:snapToGrid w:val="0"/>
                <w:kern w:val="0"/>
                <w:sz w:val="24"/>
                <w:szCs w:val="24"/>
              </w:rPr>
            </w:pPr>
            <w:r>
              <w:rPr>
                <w:rFonts w:eastAsia="黑体"/>
                <w:bCs/>
                <w:snapToGrid w:val="0"/>
                <w:kern w:val="0"/>
                <w:sz w:val="24"/>
                <w:szCs w:val="24"/>
              </w:rPr>
              <w:t>指标名称</w:t>
            </w:r>
          </w:p>
        </w:tc>
        <w:tc>
          <w:tcPr>
            <w:tcW w:w="1559" w:type="dxa"/>
            <w:vAlign w:val="center"/>
          </w:tcPr>
          <w:p>
            <w:pPr>
              <w:widowControl/>
              <w:tabs>
                <w:tab w:val="left" w:pos="747"/>
              </w:tabs>
              <w:adjustRightInd w:val="0"/>
              <w:snapToGrid w:val="0"/>
              <w:spacing w:line="300" w:lineRule="exact"/>
              <w:jc w:val="center"/>
              <w:rPr>
                <w:rFonts w:eastAsia="黑体"/>
                <w:bCs/>
                <w:snapToGrid w:val="0"/>
                <w:kern w:val="0"/>
                <w:sz w:val="24"/>
                <w:szCs w:val="24"/>
              </w:rPr>
            </w:pPr>
            <w:r>
              <w:rPr>
                <w:rFonts w:eastAsia="黑体"/>
                <w:bCs/>
                <w:snapToGrid w:val="0"/>
                <w:kern w:val="0"/>
                <w:sz w:val="24"/>
                <w:szCs w:val="24"/>
              </w:rPr>
              <w:t>单位</w:t>
            </w:r>
          </w:p>
        </w:tc>
        <w:tc>
          <w:tcPr>
            <w:tcW w:w="851" w:type="dxa"/>
            <w:vAlign w:val="center"/>
          </w:tcPr>
          <w:p>
            <w:pPr>
              <w:widowControl/>
              <w:tabs>
                <w:tab w:val="left" w:pos="747"/>
              </w:tabs>
              <w:adjustRightInd w:val="0"/>
              <w:snapToGrid w:val="0"/>
              <w:spacing w:line="300" w:lineRule="exact"/>
              <w:jc w:val="center"/>
              <w:rPr>
                <w:rFonts w:eastAsia="黑体"/>
                <w:bCs/>
                <w:snapToGrid w:val="0"/>
                <w:kern w:val="0"/>
                <w:sz w:val="24"/>
                <w:szCs w:val="24"/>
              </w:rPr>
            </w:pPr>
            <w:r>
              <w:rPr>
                <w:rFonts w:eastAsia="黑体"/>
                <w:bCs/>
                <w:snapToGrid w:val="0"/>
                <w:kern w:val="0"/>
                <w:sz w:val="24"/>
                <w:szCs w:val="24"/>
              </w:rPr>
              <w:t>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1</w:t>
            </w:r>
          </w:p>
        </w:tc>
        <w:tc>
          <w:tcPr>
            <w:tcW w:w="5245" w:type="dxa"/>
            <w:vAlign w:val="center"/>
          </w:tcPr>
          <w:p>
            <w:pPr>
              <w:widowControl/>
              <w:tabs>
                <w:tab w:val="left" w:pos="747"/>
              </w:tabs>
              <w:adjustRightInd w:val="0"/>
              <w:snapToGrid w:val="0"/>
              <w:spacing w:line="300" w:lineRule="exact"/>
              <w:rPr>
                <w:bCs/>
                <w:snapToGrid w:val="0"/>
                <w:kern w:val="0"/>
                <w:sz w:val="24"/>
                <w:szCs w:val="24"/>
              </w:rPr>
            </w:pPr>
            <w:r>
              <w:rPr>
                <w:rFonts w:hAnsi="宋体"/>
                <w:bCs/>
                <w:snapToGrid w:val="0"/>
                <w:kern w:val="0"/>
                <w:sz w:val="24"/>
                <w:szCs w:val="24"/>
              </w:rPr>
              <w:t>规模以上工业企业亩均税收</w:t>
            </w:r>
          </w:p>
        </w:tc>
        <w:tc>
          <w:tcPr>
            <w:tcW w:w="1559" w:type="dxa"/>
            <w:vAlign w:val="center"/>
          </w:tcPr>
          <w:p>
            <w:pPr>
              <w:widowControl/>
              <w:tabs>
                <w:tab w:val="left" w:pos="747"/>
              </w:tabs>
              <w:adjustRightInd w:val="0"/>
              <w:snapToGrid w:val="0"/>
              <w:spacing w:line="300" w:lineRule="exact"/>
              <w:jc w:val="center"/>
              <w:rPr>
                <w:bCs/>
                <w:snapToGrid w:val="0"/>
                <w:kern w:val="0"/>
                <w:sz w:val="24"/>
                <w:szCs w:val="24"/>
              </w:rPr>
            </w:pPr>
            <w:r>
              <w:rPr>
                <w:rFonts w:hAnsi="宋体"/>
                <w:bCs/>
                <w:snapToGrid w:val="0"/>
                <w:kern w:val="0"/>
                <w:sz w:val="24"/>
                <w:szCs w:val="24"/>
              </w:rPr>
              <w:t>万元</w:t>
            </w:r>
            <w:r>
              <w:rPr>
                <w:bCs/>
                <w:snapToGrid w:val="0"/>
                <w:kern w:val="0"/>
                <w:sz w:val="24"/>
                <w:szCs w:val="24"/>
              </w:rPr>
              <w:t>/</w:t>
            </w:r>
            <w:r>
              <w:rPr>
                <w:rFonts w:hAnsi="宋体"/>
                <w:bCs/>
                <w:snapToGrid w:val="0"/>
                <w:kern w:val="0"/>
                <w:sz w:val="24"/>
                <w:szCs w:val="24"/>
              </w:rPr>
              <w:t>亩</w:t>
            </w:r>
          </w:p>
        </w:tc>
        <w:tc>
          <w:tcPr>
            <w:tcW w:w="851"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2</w:t>
            </w:r>
          </w:p>
        </w:tc>
        <w:tc>
          <w:tcPr>
            <w:tcW w:w="5245" w:type="dxa"/>
            <w:vAlign w:val="center"/>
          </w:tcPr>
          <w:p>
            <w:pPr>
              <w:widowControl/>
              <w:tabs>
                <w:tab w:val="left" w:pos="747"/>
              </w:tabs>
              <w:adjustRightInd w:val="0"/>
              <w:snapToGrid w:val="0"/>
              <w:spacing w:line="300" w:lineRule="exact"/>
              <w:rPr>
                <w:bCs/>
                <w:snapToGrid w:val="0"/>
                <w:kern w:val="0"/>
                <w:sz w:val="24"/>
                <w:szCs w:val="24"/>
              </w:rPr>
            </w:pPr>
            <w:r>
              <w:rPr>
                <w:rFonts w:hAnsi="宋体"/>
                <w:bCs/>
                <w:snapToGrid w:val="0"/>
                <w:kern w:val="0"/>
                <w:sz w:val="24"/>
                <w:szCs w:val="24"/>
              </w:rPr>
              <w:t>工业固定资产投资亩均强度</w:t>
            </w:r>
          </w:p>
        </w:tc>
        <w:tc>
          <w:tcPr>
            <w:tcW w:w="1559" w:type="dxa"/>
            <w:vAlign w:val="center"/>
          </w:tcPr>
          <w:p>
            <w:pPr>
              <w:widowControl/>
              <w:tabs>
                <w:tab w:val="left" w:pos="747"/>
              </w:tabs>
              <w:adjustRightInd w:val="0"/>
              <w:snapToGrid w:val="0"/>
              <w:spacing w:line="300" w:lineRule="exact"/>
              <w:jc w:val="center"/>
              <w:rPr>
                <w:bCs/>
                <w:snapToGrid w:val="0"/>
                <w:kern w:val="0"/>
                <w:sz w:val="24"/>
                <w:szCs w:val="24"/>
              </w:rPr>
            </w:pPr>
            <w:r>
              <w:rPr>
                <w:rFonts w:hAnsi="宋体"/>
                <w:bCs/>
                <w:snapToGrid w:val="0"/>
                <w:kern w:val="0"/>
                <w:sz w:val="24"/>
                <w:szCs w:val="24"/>
              </w:rPr>
              <w:t>万元</w:t>
            </w:r>
            <w:r>
              <w:rPr>
                <w:bCs/>
                <w:snapToGrid w:val="0"/>
                <w:kern w:val="0"/>
                <w:sz w:val="24"/>
                <w:szCs w:val="24"/>
              </w:rPr>
              <w:t>/</w:t>
            </w:r>
            <w:r>
              <w:rPr>
                <w:rFonts w:hAnsi="宋体"/>
                <w:bCs/>
                <w:snapToGrid w:val="0"/>
                <w:kern w:val="0"/>
                <w:sz w:val="24"/>
                <w:szCs w:val="24"/>
              </w:rPr>
              <w:t>亩</w:t>
            </w:r>
          </w:p>
        </w:tc>
        <w:tc>
          <w:tcPr>
            <w:tcW w:w="851"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3</w:t>
            </w:r>
          </w:p>
        </w:tc>
        <w:tc>
          <w:tcPr>
            <w:tcW w:w="5245" w:type="dxa"/>
            <w:vAlign w:val="center"/>
          </w:tcPr>
          <w:p>
            <w:pPr>
              <w:widowControl/>
              <w:tabs>
                <w:tab w:val="left" w:pos="747"/>
              </w:tabs>
              <w:adjustRightInd w:val="0"/>
              <w:snapToGrid w:val="0"/>
              <w:spacing w:line="300" w:lineRule="exact"/>
              <w:rPr>
                <w:bCs/>
                <w:snapToGrid w:val="0"/>
                <w:kern w:val="0"/>
                <w:sz w:val="24"/>
                <w:szCs w:val="24"/>
              </w:rPr>
            </w:pPr>
            <w:r>
              <w:rPr>
                <w:rFonts w:hAnsi="宋体"/>
                <w:bCs/>
                <w:snapToGrid w:val="0"/>
                <w:kern w:val="0"/>
                <w:sz w:val="24"/>
                <w:szCs w:val="24"/>
              </w:rPr>
              <w:t>规模以上工业企业亩均主营业务收入</w:t>
            </w:r>
          </w:p>
        </w:tc>
        <w:tc>
          <w:tcPr>
            <w:tcW w:w="1559" w:type="dxa"/>
            <w:vAlign w:val="center"/>
          </w:tcPr>
          <w:p>
            <w:pPr>
              <w:widowControl/>
              <w:tabs>
                <w:tab w:val="left" w:pos="747"/>
              </w:tabs>
              <w:adjustRightInd w:val="0"/>
              <w:snapToGrid w:val="0"/>
              <w:spacing w:line="300" w:lineRule="exact"/>
              <w:jc w:val="center"/>
              <w:rPr>
                <w:bCs/>
                <w:snapToGrid w:val="0"/>
                <w:kern w:val="0"/>
                <w:sz w:val="24"/>
                <w:szCs w:val="24"/>
              </w:rPr>
            </w:pPr>
            <w:r>
              <w:rPr>
                <w:rFonts w:hAnsi="宋体"/>
                <w:bCs/>
                <w:snapToGrid w:val="0"/>
                <w:kern w:val="0"/>
                <w:sz w:val="24"/>
                <w:szCs w:val="24"/>
              </w:rPr>
              <w:t>万元</w:t>
            </w:r>
            <w:r>
              <w:rPr>
                <w:bCs/>
                <w:snapToGrid w:val="0"/>
                <w:kern w:val="0"/>
                <w:sz w:val="24"/>
                <w:szCs w:val="24"/>
              </w:rPr>
              <w:t>/</w:t>
            </w:r>
            <w:r>
              <w:rPr>
                <w:rFonts w:hAnsi="宋体"/>
                <w:bCs/>
                <w:snapToGrid w:val="0"/>
                <w:kern w:val="0"/>
                <w:sz w:val="24"/>
                <w:szCs w:val="24"/>
              </w:rPr>
              <w:t>亩</w:t>
            </w:r>
          </w:p>
        </w:tc>
        <w:tc>
          <w:tcPr>
            <w:tcW w:w="851"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4</w:t>
            </w:r>
          </w:p>
        </w:tc>
        <w:tc>
          <w:tcPr>
            <w:tcW w:w="5245" w:type="dxa"/>
            <w:vAlign w:val="center"/>
          </w:tcPr>
          <w:p>
            <w:pPr>
              <w:widowControl/>
              <w:tabs>
                <w:tab w:val="left" w:pos="747"/>
              </w:tabs>
              <w:adjustRightInd w:val="0"/>
              <w:snapToGrid w:val="0"/>
              <w:spacing w:line="300" w:lineRule="exact"/>
              <w:rPr>
                <w:bCs/>
                <w:snapToGrid w:val="0"/>
                <w:kern w:val="0"/>
                <w:sz w:val="24"/>
                <w:szCs w:val="24"/>
              </w:rPr>
            </w:pPr>
            <w:r>
              <w:rPr>
                <w:rFonts w:hAnsi="宋体"/>
                <w:bCs/>
                <w:snapToGrid w:val="0"/>
                <w:kern w:val="0"/>
                <w:sz w:val="24"/>
                <w:szCs w:val="24"/>
              </w:rPr>
              <w:t>规模以上工业企业研究与试验发展经费支出占规模以上工业企业营业收入比重</w:t>
            </w:r>
          </w:p>
        </w:tc>
        <w:tc>
          <w:tcPr>
            <w:tcW w:w="1559"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w:t>
            </w:r>
          </w:p>
        </w:tc>
        <w:tc>
          <w:tcPr>
            <w:tcW w:w="851"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5</w:t>
            </w:r>
          </w:p>
        </w:tc>
        <w:tc>
          <w:tcPr>
            <w:tcW w:w="5245" w:type="dxa"/>
            <w:vAlign w:val="center"/>
          </w:tcPr>
          <w:p>
            <w:pPr>
              <w:widowControl/>
              <w:tabs>
                <w:tab w:val="left" w:pos="747"/>
              </w:tabs>
              <w:adjustRightInd w:val="0"/>
              <w:snapToGrid w:val="0"/>
              <w:spacing w:line="300" w:lineRule="exact"/>
              <w:rPr>
                <w:bCs/>
                <w:snapToGrid w:val="0"/>
                <w:kern w:val="0"/>
                <w:sz w:val="24"/>
                <w:szCs w:val="24"/>
              </w:rPr>
            </w:pPr>
            <w:r>
              <w:rPr>
                <w:rFonts w:hAnsi="宋体"/>
                <w:bCs/>
                <w:snapToGrid w:val="0"/>
                <w:kern w:val="0"/>
                <w:sz w:val="24"/>
                <w:szCs w:val="24"/>
              </w:rPr>
              <w:t>单位能耗增加值</w:t>
            </w:r>
          </w:p>
        </w:tc>
        <w:tc>
          <w:tcPr>
            <w:tcW w:w="1559" w:type="dxa"/>
            <w:vAlign w:val="center"/>
          </w:tcPr>
          <w:p>
            <w:pPr>
              <w:widowControl/>
              <w:tabs>
                <w:tab w:val="left" w:pos="747"/>
              </w:tabs>
              <w:adjustRightInd w:val="0"/>
              <w:snapToGrid w:val="0"/>
              <w:spacing w:line="300" w:lineRule="exact"/>
              <w:jc w:val="center"/>
              <w:rPr>
                <w:bCs/>
                <w:snapToGrid w:val="0"/>
                <w:kern w:val="0"/>
                <w:sz w:val="24"/>
                <w:szCs w:val="24"/>
              </w:rPr>
            </w:pPr>
            <w:r>
              <w:rPr>
                <w:rFonts w:hAnsi="宋体"/>
                <w:bCs/>
                <w:snapToGrid w:val="0"/>
                <w:kern w:val="0"/>
                <w:sz w:val="24"/>
                <w:szCs w:val="24"/>
              </w:rPr>
              <w:t>万元</w:t>
            </w:r>
            <w:r>
              <w:rPr>
                <w:bCs/>
                <w:snapToGrid w:val="0"/>
                <w:kern w:val="0"/>
                <w:sz w:val="24"/>
                <w:szCs w:val="24"/>
              </w:rPr>
              <w:t>/</w:t>
            </w:r>
            <w:r>
              <w:rPr>
                <w:rFonts w:hAnsi="宋体"/>
                <w:bCs/>
                <w:snapToGrid w:val="0"/>
                <w:kern w:val="0"/>
                <w:sz w:val="24"/>
                <w:szCs w:val="24"/>
              </w:rPr>
              <w:t>吨标煤</w:t>
            </w:r>
          </w:p>
        </w:tc>
        <w:tc>
          <w:tcPr>
            <w:tcW w:w="851" w:type="dxa"/>
            <w:vAlign w:val="center"/>
          </w:tcPr>
          <w:p>
            <w:pPr>
              <w:widowControl/>
              <w:tabs>
                <w:tab w:val="left" w:pos="747"/>
              </w:tabs>
              <w:adjustRightInd w:val="0"/>
              <w:snapToGrid w:val="0"/>
              <w:spacing w:line="300" w:lineRule="exact"/>
              <w:jc w:val="center"/>
              <w:rPr>
                <w:bCs/>
                <w:snapToGrid w:val="0"/>
                <w:kern w:val="0"/>
                <w:sz w:val="24"/>
                <w:szCs w:val="24"/>
              </w:rPr>
            </w:pPr>
            <w:r>
              <w:rPr>
                <w:bCs/>
                <w:snapToGrid w:val="0"/>
                <w:kern w:val="0"/>
                <w:sz w:val="24"/>
                <w:szCs w:val="24"/>
              </w:rPr>
              <w:t>10</w:t>
            </w:r>
          </w:p>
        </w:tc>
      </w:tr>
    </w:tbl>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第八条</w:t>
      </w:r>
      <w:r>
        <w:rPr>
          <w:rFonts w:eastAsia="楷体_GB2312"/>
          <w:snapToGrid w:val="0"/>
          <w:kern w:val="0"/>
          <w:sz w:val="31"/>
          <w:szCs w:val="31"/>
        </w:rPr>
        <w:t xml:space="preserve">  </w:t>
      </w:r>
      <w:r>
        <w:rPr>
          <w:rFonts w:eastAsia="仿宋_GB2312"/>
          <w:snapToGrid w:val="0"/>
          <w:kern w:val="0"/>
          <w:sz w:val="31"/>
          <w:szCs w:val="31"/>
        </w:rPr>
        <w:t>指标解释：</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1．规模以上工业企业亩均税收（万元/亩）=规模以上工业企业税收实际入库数/规模以上工业企业当年度应税土地面积。</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2．工业固定资产投资亩均强度（万元/亩）=当年度工业企业新增投资项目投资额/当年度新增工业建设用地面积。</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3．规模以上工业企业亩均主营业务收入（万元/亩）=规模以上工业企业主营业务收入/规模以上工业企业当年度应税土地面积。</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4．规模以上工业企业研究与试验发展经费支出占规模以上工业企业营业收入比重（%）=规模以上工业企业研究与试验发展（R&amp;D）经费支出/规模以上工业企业营业收入。</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5．单位能耗增加值（万元/吨标煤）=规模以上工业企业增加值/规模以上工业企业综合能耗。</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第九条</w:t>
      </w:r>
      <w:r>
        <w:rPr>
          <w:rFonts w:eastAsia="黑体"/>
          <w:snapToGrid w:val="0"/>
          <w:kern w:val="0"/>
          <w:sz w:val="31"/>
          <w:szCs w:val="31"/>
        </w:rPr>
        <w:t xml:space="preserve"> </w:t>
      </w:r>
      <w:r>
        <w:rPr>
          <w:rFonts w:eastAsia="楷体_GB2312"/>
          <w:snapToGrid w:val="0"/>
          <w:kern w:val="0"/>
          <w:sz w:val="31"/>
          <w:szCs w:val="31"/>
        </w:rPr>
        <w:t xml:space="preserve"> </w:t>
      </w:r>
      <w:r>
        <w:rPr>
          <w:rFonts w:eastAsia="仿宋_GB2312"/>
          <w:snapToGrid w:val="0"/>
          <w:kern w:val="0"/>
          <w:sz w:val="31"/>
          <w:szCs w:val="31"/>
        </w:rPr>
        <w:t>评价采用功效系数法进行权值计算，对当年绝对数和增幅分别计算无量纲分值，乘以各指标权重，计算各指标静态和动态分值，再按静态、动态权重加权计算出各项指标的合成分值（静态、动态指标权重按40%和60%设置）。</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第十条</w:t>
      </w:r>
      <w:r>
        <w:rPr>
          <w:rFonts w:eastAsia="楷体_GB2312"/>
          <w:snapToGrid w:val="0"/>
          <w:kern w:val="0"/>
          <w:sz w:val="31"/>
          <w:szCs w:val="31"/>
        </w:rPr>
        <w:t xml:space="preserve">  </w:t>
      </w:r>
      <w:r>
        <w:rPr>
          <w:rFonts w:eastAsia="仿宋_GB2312"/>
          <w:snapToGrid w:val="0"/>
          <w:kern w:val="0"/>
          <w:sz w:val="31"/>
          <w:szCs w:val="31"/>
        </w:rPr>
        <w:t>评价体系设定加减分项，分别为净增规上工业企业数、市政府下达的批而未供、供而未用以及低效用地处置年度目标任务完成情况等2项指标，具体包括：规上工业企业（当年净增规上工业企业）净增1家加0.5分，净减1家减0.5分。批而未供、供而未用以及低效用地处置指标根据县、区、开发园区年度目标任务完成情况加分，最高加0.5分。</w:t>
      </w:r>
    </w:p>
    <w:p>
      <w:pPr>
        <w:adjustRightInd w:val="0"/>
        <w:snapToGrid w:val="0"/>
        <w:spacing w:beforeLines="100" w:afterLines="100" w:line="600" w:lineRule="exact"/>
        <w:jc w:val="center"/>
        <w:rPr>
          <w:rFonts w:eastAsia="黑体"/>
          <w:snapToGrid w:val="0"/>
          <w:kern w:val="0"/>
          <w:sz w:val="31"/>
          <w:szCs w:val="31"/>
        </w:rPr>
      </w:pPr>
      <w:r>
        <w:rPr>
          <w:rFonts w:eastAsia="黑体"/>
          <w:snapToGrid w:val="0"/>
          <w:kern w:val="0"/>
          <w:sz w:val="31"/>
          <w:szCs w:val="31"/>
        </w:rPr>
        <w:t>第四章  评价程序</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第十一条</w:t>
      </w:r>
      <w:r>
        <w:rPr>
          <w:rFonts w:eastAsia="楷体_GB2312"/>
          <w:snapToGrid w:val="0"/>
          <w:kern w:val="0"/>
          <w:sz w:val="31"/>
          <w:szCs w:val="31"/>
        </w:rPr>
        <w:t xml:space="preserve">  </w:t>
      </w:r>
      <w:r>
        <w:rPr>
          <w:rFonts w:eastAsia="仿宋_GB2312"/>
          <w:snapToGrid w:val="0"/>
          <w:kern w:val="0"/>
          <w:sz w:val="31"/>
          <w:szCs w:val="31"/>
        </w:rPr>
        <w:t>县区、开发园区亩均效益评价工作每年开展1次，并分县、区、开发园区三类排名，评价结果在相关网站上公示后发布。</w:t>
      </w:r>
    </w:p>
    <w:p>
      <w:pPr>
        <w:adjustRightInd w:val="0"/>
        <w:snapToGrid w:val="0"/>
        <w:spacing w:line="60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第十二条</w:t>
      </w:r>
      <w:r>
        <w:rPr>
          <w:rFonts w:eastAsia="仿宋_GB2312"/>
          <w:snapToGrid w:val="0"/>
          <w:kern w:val="0"/>
          <w:sz w:val="31"/>
          <w:szCs w:val="31"/>
        </w:rPr>
        <w:t xml:space="preserve">  市直有关部门、县区、开发园区要进一步压实责任，按照“谁主管、谁统计、谁负责”的原则加强数据统计和上报工作，坚持依法统计，确保数据准确，客观公正地评价县区、开发园区亩均效益水平，协同推进县区、开发园区亩均效益评价工作的组织实施。</w:t>
      </w:r>
    </w:p>
    <w:p>
      <w:pPr>
        <w:adjustRightInd w:val="0"/>
        <w:snapToGrid w:val="0"/>
        <w:spacing w:line="620" w:lineRule="exact"/>
        <w:ind w:firstLine="620" w:firstLineChars="200"/>
        <w:rPr>
          <w:rFonts w:eastAsia="仿宋_GB2312"/>
          <w:snapToGrid w:val="0"/>
          <w:kern w:val="0"/>
          <w:sz w:val="31"/>
          <w:szCs w:val="31"/>
        </w:rPr>
      </w:pPr>
      <w:r>
        <w:rPr>
          <w:rFonts w:eastAsia="仿宋_GB2312"/>
          <w:snapToGrid w:val="0"/>
          <w:kern w:val="0"/>
          <w:sz w:val="31"/>
          <w:szCs w:val="31"/>
        </w:rPr>
        <w:t>（一）市统计局：负责提供县区、开发园区规模以上工业企业名单、工业企业新增投资项目投资额、规模以上工业企业增加值、规模以上工业企业研究与试验发展（R&amp;D）经费支出、规模以上工业企业综合能耗等数据，并牵头评价工业固定资产投资亩均强度、规模以上工业企</w:t>
      </w:r>
      <w:r>
        <w:rPr>
          <w:rFonts w:eastAsia="仿宋_GB2312"/>
          <w:snapToGrid w:val="0"/>
          <w:color w:val="000000"/>
          <w:kern w:val="0"/>
          <w:sz w:val="31"/>
          <w:szCs w:val="31"/>
        </w:rPr>
        <w:t>业亩均主营业务收入、单位能</w:t>
      </w:r>
      <w:r>
        <w:rPr>
          <w:rFonts w:eastAsia="仿宋_GB2312"/>
          <w:snapToGrid w:val="0"/>
          <w:kern w:val="0"/>
          <w:sz w:val="31"/>
          <w:szCs w:val="31"/>
        </w:rPr>
        <w:t>耗增加值等3项指标，同时汇总市直有关部门对县区、开发园区亩均效益评价结果。</w:t>
      </w:r>
    </w:p>
    <w:p>
      <w:pPr>
        <w:adjustRightInd w:val="0"/>
        <w:snapToGrid w:val="0"/>
        <w:spacing w:line="620" w:lineRule="exact"/>
        <w:ind w:firstLine="620" w:firstLineChars="200"/>
        <w:rPr>
          <w:rFonts w:eastAsia="仿宋_GB2312"/>
          <w:snapToGrid w:val="0"/>
          <w:kern w:val="0"/>
          <w:sz w:val="31"/>
          <w:szCs w:val="31"/>
        </w:rPr>
      </w:pPr>
      <w:r>
        <w:rPr>
          <w:rFonts w:eastAsia="仿宋_GB2312"/>
          <w:snapToGrid w:val="0"/>
          <w:kern w:val="0"/>
          <w:sz w:val="31"/>
          <w:szCs w:val="31"/>
        </w:rPr>
        <w:t>（二）市自然资源和规划局：负责提供县区、开发园区当年度新增工业建设用地面积，并审核市税务局提供的县区、开发园区规模以上工业企业当年度应税土地面积等数据，会同市税务局评价县区、开发园区规模以上工业企业亩均税收指标，并牵头评价是否完成市政府下达的批而未供、供而未用以及低效用地处置年度目标任务完成情况指标。</w:t>
      </w:r>
    </w:p>
    <w:p>
      <w:pPr>
        <w:widowControl/>
        <w:adjustRightInd w:val="0"/>
        <w:snapToGrid w:val="0"/>
        <w:spacing w:line="620" w:lineRule="exact"/>
        <w:ind w:firstLine="620" w:firstLineChars="200"/>
        <w:rPr>
          <w:rFonts w:eastAsia="仿宋_GB2312"/>
          <w:snapToGrid w:val="0"/>
          <w:kern w:val="0"/>
          <w:sz w:val="31"/>
          <w:szCs w:val="31"/>
        </w:rPr>
      </w:pPr>
      <w:r>
        <w:rPr>
          <w:rFonts w:eastAsia="仿宋_GB2312"/>
          <w:snapToGrid w:val="0"/>
          <w:kern w:val="0"/>
          <w:sz w:val="31"/>
          <w:szCs w:val="31"/>
        </w:rPr>
        <w:t>（三）市税务局：负责提供县区、开发园区规模以上工业企业税收实际入库数、规模以上工业企业主营业务收入数、规模以上工业企业营业收入数、规模以上工业企业当年度应税土地面积等数据，并牵头评价规模以上工业企业亩均税收指标。</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（四）市科技局：牵头评价规模以上工业企业研究与试验发展经费支出占规模以上工业企业营业收入比重指标。</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（五）市经信局：负责提供当年净增规上工业企业数，牵头评价净增规上工业企业数指标。</w:t>
      </w:r>
    </w:p>
    <w:p>
      <w:pPr>
        <w:adjustRightInd w:val="0"/>
        <w:snapToGrid w:val="0"/>
        <w:spacing w:line="600" w:lineRule="exact"/>
        <w:ind w:firstLine="620" w:firstLineChars="200"/>
        <w:rPr>
          <w:rFonts w:eastAsia="仿宋_GB2312"/>
          <w:snapToGrid w:val="0"/>
          <w:kern w:val="0"/>
          <w:sz w:val="31"/>
          <w:szCs w:val="31"/>
        </w:rPr>
      </w:pPr>
      <w:r>
        <w:rPr>
          <w:rFonts w:eastAsia="仿宋_GB2312"/>
          <w:snapToGrid w:val="0"/>
          <w:kern w:val="0"/>
          <w:sz w:val="31"/>
          <w:szCs w:val="31"/>
        </w:rPr>
        <w:t>（六）县区、开发园区：负责配合市直有关部门，提供县区、开发园区亩均效益评价有关数据。</w:t>
      </w:r>
    </w:p>
    <w:p>
      <w:pPr>
        <w:adjustRightInd w:val="0"/>
        <w:snapToGrid w:val="0"/>
        <w:spacing w:beforeLines="100" w:afterLines="100" w:line="580" w:lineRule="exact"/>
        <w:jc w:val="center"/>
        <w:rPr>
          <w:rFonts w:eastAsia="黑体"/>
          <w:snapToGrid w:val="0"/>
          <w:kern w:val="0"/>
          <w:sz w:val="31"/>
          <w:szCs w:val="31"/>
        </w:rPr>
      </w:pPr>
      <w:r>
        <w:rPr>
          <w:rFonts w:eastAsia="黑体"/>
          <w:snapToGrid w:val="0"/>
          <w:kern w:val="0"/>
          <w:sz w:val="31"/>
          <w:szCs w:val="31"/>
        </w:rPr>
        <w:t>第五章  资源要素差别化配置</w:t>
      </w:r>
    </w:p>
    <w:p>
      <w:pPr>
        <w:adjustRightInd w:val="0"/>
        <w:snapToGrid w:val="0"/>
        <w:spacing w:line="580" w:lineRule="exact"/>
        <w:ind w:firstLine="620" w:firstLineChars="200"/>
        <w:rPr>
          <w:rFonts w:eastAsia="仿宋_GB2312"/>
          <w:snapToGrid w:val="0"/>
          <w:kern w:val="0"/>
          <w:sz w:val="31"/>
          <w:szCs w:val="31"/>
        </w:rPr>
      </w:pPr>
      <w:r>
        <w:rPr>
          <w:rFonts w:ascii="楷体_GB2312" w:hAnsi="黑体" w:eastAsia="楷体_GB2312"/>
          <w:snapToGrid w:val="0"/>
          <w:kern w:val="0"/>
          <w:sz w:val="31"/>
          <w:szCs w:val="31"/>
        </w:rPr>
        <w:t>第十三条</w:t>
      </w:r>
      <w:r>
        <w:rPr>
          <w:rFonts w:eastAsia="仿宋_GB2312"/>
          <w:snapToGrid w:val="0"/>
          <w:kern w:val="0"/>
          <w:sz w:val="31"/>
          <w:szCs w:val="31"/>
        </w:rPr>
        <w:t xml:space="preserve">  加大资源要素区域差别化配置和叠加运用，按照亩均效益高、规上工业企业增加多、要素保障优的原则，构建县区、开发园区亩均效益评价结果与年度用地、用能等资源要素分配以及财政支持的激励约束机制。</w:t>
      </w:r>
    </w:p>
    <w:p>
      <w:pPr>
        <w:adjustRightInd w:val="0"/>
        <w:snapToGrid w:val="0"/>
        <w:spacing w:line="580" w:lineRule="exact"/>
        <w:ind w:firstLine="620" w:firstLineChars="200"/>
        <w:rPr>
          <w:rFonts w:eastAsia="仿宋_GB2312"/>
          <w:snapToGrid w:val="0"/>
          <w:kern w:val="0"/>
          <w:sz w:val="31"/>
          <w:szCs w:val="31"/>
        </w:rPr>
      </w:pPr>
      <w:r>
        <w:rPr>
          <w:rFonts w:eastAsia="仿宋_GB2312"/>
          <w:snapToGrid w:val="0"/>
          <w:kern w:val="0"/>
          <w:sz w:val="31"/>
          <w:szCs w:val="31"/>
        </w:rPr>
        <w:t>（一）市自然资源和规划局：将各县区、开发园区上一年度亩均效益评价结果作为项目用地申请的重要依据，对亩均效益评价结果分别位居县、区、开发园区第一位的载体，各给予用地指标100亩奖励。对亩均效益评价结果分别位居县、区、开发园区最后一位的载体，对申请项目土地指标适当核减。</w:t>
      </w:r>
    </w:p>
    <w:p>
      <w:pPr>
        <w:adjustRightInd w:val="0"/>
        <w:snapToGrid w:val="0"/>
        <w:spacing w:line="580" w:lineRule="exact"/>
        <w:ind w:firstLine="620" w:firstLineChars="200"/>
        <w:rPr>
          <w:rFonts w:eastAsia="仿宋_GB2312"/>
          <w:snapToGrid w:val="0"/>
          <w:kern w:val="0"/>
          <w:sz w:val="31"/>
          <w:szCs w:val="31"/>
        </w:rPr>
      </w:pPr>
      <w:r>
        <w:rPr>
          <w:rFonts w:eastAsia="仿宋_GB2312"/>
          <w:snapToGrid w:val="0"/>
          <w:kern w:val="0"/>
          <w:sz w:val="31"/>
          <w:szCs w:val="31"/>
        </w:rPr>
        <w:t>（二）市发改委：根据各县区、开发园区上一年度亩均效益评价结果，对亩均效益评价结果分别位居县、区、开发园区第一位的载体，在分配年度能耗总量指标时优先保障。</w:t>
      </w:r>
    </w:p>
    <w:p>
      <w:pPr>
        <w:adjustRightInd w:val="0"/>
        <w:snapToGrid w:val="0"/>
        <w:spacing w:line="580" w:lineRule="exact"/>
        <w:ind w:firstLine="620" w:firstLineChars="200"/>
        <w:rPr>
          <w:rFonts w:eastAsia="仿宋_GB2312"/>
          <w:snapToGrid w:val="0"/>
          <w:color w:val="000000"/>
          <w:kern w:val="0"/>
          <w:sz w:val="31"/>
          <w:szCs w:val="31"/>
        </w:rPr>
      </w:pPr>
      <w:r>
        <w:rPr>
          <w:rFonts w:eastAsia="仿宋_GB2312"/>
          <w:snapToGrid w:val="0"/>
          <w:kern w:val="0"/>
          <w:sz w:val="31"/>
          <w:szCs w:val="31"/>
        </w:rPr>
        <w:t>（三）</w:t>
      </w:r>
      <w:r>
        <w:rPr>
          <w:rFonts w:eastAsia="仿宋_GB2312"/>
          <w:snapToGrid w:val="0"/>
          <w:color w:val="000000"/>
          <w:kern w:val="0"/>
          <w:sz w:val="31"/>
          <w:szCs w:val="31"/>
        </w:rPr>
        <w:t>市科技局：根据各县区、开发园区上一年度亩均效益评价结果，对亩均效益评价结果分别位居县、区、开发园区第一位的载体，在创新要素分配方面给予倾斜，优先布局工程（技术）研究中心、制造业创新中心、新型研发机构、重点（工程）实验室、企业技术中心等创新平台或载体。</w:t>
      </w:r>
    </w:p>
    <w:p>
      <w:pPr>
        <w:adjustRightInd w:val="0"/>
        <w:snapToGrid w:val="0"/>
        <w:spacing w:line="580" w:lineRule="exact"/>
        <w:ind w:firstLine="620" w:firstLineChars="200"/>
        <w:rPr>
          <w:rFonts w:eastAsia="仿宋_GB2312"/>
          <w:snapToGrid w:val="0"/>
          <w:kern w:val="0"/>
          <w:sz w:val="31"/>
          <w:szCs w:val="31"/>
        </w:rPr>
      </w:pPr>
      <w:r>
        <w:rPr>
          <w:rFonts w:eastAsia="仿宋_GB2312"/>
          <w:snapToGrid w:val="0"/>
          <w:kern w:val="0"/>
          <w:sz w:val="31"/>
          <w:szCs w:val="31"/>
        </w:rPr>
        <w:t>（四）市财政局：根据各县区、开发园区上一年度亩均效益评价结果，从</w:t>
      </w:r>
      <w:r>
        <w:rPr>
          <w:rFonts w:eastAsia="仿宋_GB2312"/>
          <w:snapToGrid w:val="0"/>
          <w:color w:val="000000"/>
          <w:kern w:val="0"/>
          <w:sz w:val="31"/>
          <w:szCs w:val="31"/>
        </w:rPr>
        <w:t>市级扶持产业发展政策资金总盘子中</w:t>
      </w:r>
      <w:r>
        <w:rPr>
          <w:rFonts w:eastAsia="仿宋_GB2312"/>
          <w:snapToGrid w:val="0"/>
          <w:kern w:val="0"/>
          <w:sz w:val="31"/>
          <w:szCs w:val="31"/>
        </w:rPr>
        <w:t>安排专项资金对亩均效益评价结果分别位居县、区、开发园区第一位的载体进行</w:t>
      </w:r>
      <w:r>
        <w:rPr>
          <w:rFonts w:eastAsia="仿宋_GB2312"/>
          <w:snapToGrid w:val="0"/>
          <w:color w:val="000000"/>
          <w:kern w:val="0"/>
          <w:sz w:val="31"/>
          <w:szCs w:val="31"/>
        </w:rPr>
        <w:t>奖励，</w:t>
      </w:r>
      <w:r>
        <w:rPr>
          <w:rFonts w:eastAsia="仿宋_GB2312"/>
          <w:snapToGrid w:val="0"/>
          <w:kern w:val="0"/>
          <w:sz w:val="31"/>
          <w:szCs w:val="31"/>
        </w:rPr>
        <w:t>集中资金扶优扶强，大力支持“亩均效益”优势区域。</w:t>
      </w:r>
    </w:p>
    <w:p>
      <w:pPr>
        <w:adjustRightInd w:val="0"/>
        <w:snapToGrid w:val="0"/>
        <w:spacing w:beforeLines="100" w:afterLines="100" w:line="580" w:lineRule="exact"/>
        <w:jc w:val="center"/>
        <w:rPr>
          <w:rFonts w:eastAsia="黑体"/>
          <w:snapToGrid w:val="0"/>
          <w:kern w:val="0"/>
          <w:sz w:val="31"/>
          <w:szCs w:val="31"/>
        </w:rPr>
      </w:pPr>
      <w:r>
        <w:rPr>
          <w:rFonts w:eastAsia="黑体"/>
          <w:snapToGrid w:val="0"/>
          <w:kern w:val="0"/>
          <w:sz w:val="31"/>
          <w:szCs w:val="31"/>
        </w:rPr>
        <w:t>第六章  附则</w:t>
      </w:r>
    </w:p>
    <w:p>
      <w:pPr>
        <w:adjustRightInd w:val="0"/>
        <w:snapToGrid w:val="0"/>
        <w:spacing w:line="580" w:lineRule="exact"/>
        <w:ind w:firstLine="620" w:firstLineChars="200"/>
        <w:rPr>
          <w:rFonts w:eastAsia="仿宋_GB2312"/>
          <w:snapToGrid w:val="0"/>
          <w:kern w:val="0"/>
          <w:sz w:val="31"/>
          <w:szCs w:val="31"/>
        </w:rPr>
      </w:pPr>
      <w:r>
        <w:rPr>
          <w:rFonts w:hAnsi="黑体" w:eastAsia="黑体"/>
          <w:snapToGrid w:val="0"/>
          <w:kern w:val="0"/>
          <w:sz w:val="31"/>
          <w:szCs w:val="31"/>
        </w:rPr>
        <w:t>第十四条</w:t>
      </w:r>
      <w:r>
        <w:rPr>
          <w:rFonts w:eastAsia="楷体_GB2312"/>
          <w:snapToGrid w:val="0"/>
          <w:kern w:val="0"/>
          <w:sz w:val="31"/>
          <w:szCs w:val="31"/>
        </w:rPr>
        <w:t xml:space="preserve">  </w:t>
      </w:r>
      <w:r>
        <w:rPr>
          <w:rFonts w:eastAsia="仿宋_GB2312"/>
          <w:snapToGrid w:val="0"/>
          <w:kern w:val="0"/>
          <w:sz w:val="31"/>
          <w:szCs w:val="31"/>
        </w:rPr>
        <w:t>建立激励约束机制，把亩均效益评价工作纳入市委、市政府对县区、开发园区的年度目标考核。对当年亩均效益评价分别位居县、区、开发园区第一位的载体年终目标考核时各增加1分。对位居县、区、开发园区最后一位的载体进行约谈。</w:t>
      </w:r>
    </w:p>
    <w:p>
      <w:pPr>
        <w:adjustRightInd w:val="0"/>
        <w:snapToGrid w:val="0"/>
        <w:spacing w:line="580" w:lineRule="exact"/>
        <w:ind w:firstLine="620" w:firstLineChars="200"/>
        <w:rPr>
          <w:rFonts w:eastAsia="仿宋_GB2312"/>
          <w:snapToGrid w:val="0"/>
          <w:kern w:val="0"/>
          <w:sz w:val="31"/>
          <w:szCs w:val="31"/>
        </w:rPr>
      </w:pPr>
      <w:r>
        <w:rPr>
          <w:rFonts w:hAnsi="黑体" w:eastAsia="黑体"/>
          <w:snapToGrid w:val="0"/>
          <w:kern w:val="0"/>
          <w:sz w:val="31"/>
          <w:szCs w:val="31"/>
        </w:rPr>
        <w:t>第十五条</w:t>
      </w:r>
      <w:r>
        <w:rPr>
          <w:rFonts w:eastAsia="楷体_GB2312"/>
          <w:snapToGrid w:val="0"/>
          <w:kern w:val="0"/>
          <w:sz w:val="31"/>
          <w:szCs w:val="31"/>
        </w:rPr>
        <w:t xml:space="preserve">  </w:t>
      </w:r>
      <w:r>
        <w:rPr>
          <w:rFonts w:eastAsia="仿宋_GB2312"/>
          <w:snapToGrid w:val="0"/>
          <w:kern w:val="0"/>
          <w:sz w:val="31"/>
          <w:szCs w:val="31"/>
        </w:rPr>
        <w:t>充分利用报纸、电视、互联网和新媒体，主动宣传县区、开发园区亩均效益评价，总结推广先进经验和典型做法，为推动县区、开发园区转型升级、高质量发展营造良好的舆论氛围和社会环境。</w:t>
      </w:r>
    </w:p>
    <w:p>
      <w:pPr>
        <w:adjustRightInd w:val="0"/>
        <w:snapToGrid w:val="0"/>
        <w:spacing w:line="580" w:lineRule="exact"/>
        <w:ind w:firstLine="620" w:firstLineChars="200"/>
        <w:rPr>
          <w:snapToGrid w:val="0"/>
          <w:kern w:val="0"/>
          <w:sz w:val="31"/>
          <w:szCs w:val="31"/>
        </w:rPr>
      </w:pPr>
      <w:r>
        <w:rPr>
          <w:rFonts w:hAnsi="黑体" w:eastAsia="黑体"/>
          <w:snapToGrid w:val="0"/>
          <w:kern w:val="0"/>
          <w:sz w:val="31"/>
          <w:szCs w:val="31"/>
        </w:rPr>
        <w:t>第十六条</w:t>
      </w:r>
      <w:r>
        <w:rPr>
          <w:rFonts w:eastAsia="楷体_GB2312"/>
          <w:snapToGrid w:val="0"/>
          <w:kern w:val="0"/>
          <w:sz w:val="31"/>
          <w:szCs w:val="31"/>
        </w:rPr>
        <w:t xml:space="preserve">  </w:t>
      </w:r>
      <w:r>
        <w:rPr>
          <w:rFonts w:eastAsia="仿宋_GB2312"/>
          <w:snapToGrid w:val="0"/>
          <w:kern w:val="0"/>
          <w:sz w:val="31"/>
          <w:szCs w:val="31"/>
        </w:rPr>
        <w:t>本办法由市发改委、市统计局负责解释，自2019年1月1日起实施。</w:t>
      </w:r>
    </w:p>
    <w:p>
      <w:pPr>
        <w:spacing w:line="580" w:lineRule="exact"/>
        <w:rPr>
          <w:sz w:val="31"/>
          <w:szCs w:val="31"/>
        </w:rPr>
      </w:pPr>
    </w:p>
    <w:p>
      <w:pPr>
        <w:widowControl/>
        <w:spacing w:line="580" w:lineRule="exact"/>
        <w:jc w:val="left"/>
        <w:rPr>
          <w:sz w:val="31"/>
          <w:szCs w:val="31"/>
        </w:rPr>
      </w:pPr>
      <w:r>
        <w:rPr>
          <w:sz w:val="31"/>
          <w:szCs w:val="31"/>
        </w:rPr>
        <w:br w:type="page"/>
      </w:r>
    </w:p>
    <w:p>
      <w:pPr>
        <w:spacing w:line="580" w:lineRule="exact"/>
        <w:jc w:val="center"/>
        <w:outlineLvl w:val="0"/>
        <w:rPr>
          <w:rFonts w:eastAsia="方正小标宋简体"/>
          <w:sz w:val="42"/>
          <w:szCs w:val="42"/>
        </w:rPr>
      </w:pPr>
      <w:r>
        <w:rPr>
          <w:rFonts w:eastAsia="方正小标宋简体"/>
          <w:sz w:val="42"/>
          <w:szCs w:val="42"/>
        </w:rPr>
        <w:t>马鞍山市企业亩均效益评价实施办法（试行）</w:t>
      </w:r>
    </w:p>
    <w:p>
      <w:pPr>
        <w:spacing w:line="580" w:lineRule="exact"/>
        <w:rPr>
          <w:sz w:val="31"/>
          <w:szCs w:val="31"/>
        </w:rPr>
      </w:pPr>
    </w:p>
    <w:p>
      <w:pPr>
        <w:pStyle w:val="7"/>
        <w:spacing w:line="580" w:lineRule="exact"/>
        <w:ind w:firstLine="620" w:firstLineChars="200"/>
        <w:rPr>
          <w:sz w:val="31"/>
          <w:szCs w:val="31"/>
        </w:rPr>
      </w:pPr>
      <w:r>
        <w:rPr>
          <w:sz w:val="31"/>
          <w:szCs w:val="31"/>
        </w:rPr>
        <w:t>根据《中共马鞍山市委马鞍山市人民政府关于大力优化营商环境支持企业发展的若干意见》（马发〔2019〕1号）有关要求，为优化资源配置，切实做好企业亩均效益评价工作，结合马鞍山实际，特制订本实施办法。</w:t>
      </w:r>
    </w:p>
    <w:p>
      <w:pPr>
        <w:widowControl/>
        <w:spacing w:line="580" w:lineRule="exact"/>
        <w:ind w:firstLine="620" w:firstLineChars="200"/>
        <w:jc w:val="left"/>
        <w:rPr>
          <w:rFonts w:eastAsia="黑体"/>
          <w:sz w:val="31"/>
          <w:szCs w:val="31"/>
        </w:rPr>
      </w:pPr>
      <w:r>
        <w:rPr>
          <w:rFonts w:eastAsia="黑体"/>
          <w:sz w:val="31"/>
          <w:szCs w:val="31"/>
        </w:rPr>
        <w:t>一、指导思想</w:t>
      </w:r>
    </w:p>
    <w:p>
      <w:pPr>
        <w:widowControl/>
        <w:spacing w:line="580" w:lineRule="exact"/>
        <w:ind w:firstLine="620" w:firstLineChars="200"/>
        <w:rPr>
          <w:rFonts w:eastAsia="仿宋_GB2312"/>
          <w:sz w:val="31"/>
          <w:szCs w:val="31"/>
        </w:rPr>
      </w:pPr>
      <w:r>
        <w:rPr>
          <w:rFonts w:eastAsia="仿宋_GB2312"/>
          <w:sz w:val="31"/>
          <w:szCs w:val="31"/>
        </w:rPr>
        <w:t>坚持以习近平新时代中国特色社会主义思想为指导，全面贯彻落实党的十九大精神，认真落实省、市优化营商环境支持企业发展有关部署，把高质量发展要求体现在扶优扶强上，强化政策引导，促进资源节约集约利用，优化资源配置，使政策支持力度与企业利用资源的贡献程度相匹配，做到“以亩产论英雄”，支持优势主导产业发展，为打造“生态福地、智造名城”，促进经济高质量发展提供重要支撑。</w:t>
      </w:r>
    </w:p>
    <w:p>
      <w:pPr>
        <w:widowControl/>
        <w:spacing w:line="580" w:lineRule="exact"/>
        <w:ind w:firstLine="620" w:firstLineChars="200"/>
        <w:jc w:val="left"/>
        <w:rPr>
          <w:rFonts w:eastAsia="黑体"/>
          <w:sz w:val="31"/>
          <w:szCs w:val="31"/>
        </w:rPr>
      </w:pPr>
      <w:r>
        <w:rPr>
          <w:rFonts w:eastAsia="黑体"/>
          <w:sz w:val="31"/>
          <w:szCs w:val="31"/>
        </w:rPr>
        <w:t>二、主要原则</w:t>
      </w:r>
    </w:p>
    <w:p>
      <w:pPr>
        <w:widowControl/>
        <w:spacing w:line="580" w:lineRule="exact"/>
        <w:ind w:firstLine="620" w:firstLineChars="200"/>
        <w:rPr>
          <w:rFonts w:eastAsia="仿宋_GB2312"/>
          <w:sz w:val="31"/>
          <w:szCs w:val="31"/>
        </w:rPr>
      </w:pPr>
      <w:r>
        <w:rPr>
          <w:rFonts w:eastAsia="楷体_GB2312"/>
          <w:sz w:val="31"/>
          <w:szCs w:val="31"/>
        </w:rPr>
        <w:t>（一）绩效优先。</w:t>
      </w:r>
      <w:r>
        <w:rPr>
          <w:rFonts w:eastAsia="仿宋_GB2312"/>
          <w:sz w:val="31"/>
          <w:szCs w:val="31"/>
        </w:rPr>
        <w:t>建立以企业亩均产出绩效为核心的综合评价制度，对企业发展绩效作出综合评价。</w:t>
      </w:r>
    </w:p>
    <w:p>
      <w:pPr>
        <w:widowControl/>
        <w:spacing w:line="580" w:lineRule="exact"/>
        <w:ind w:firstLine="620" w:firstLineChars="200"/>
        <w:rPr>
          <w:rFonts w:eastAsia="仿宋_GB2312"/>
          <w:sz w:val="31"/>
          <w:szCs w:val="31"/>
        </w:rPr>
      </w:pPr>
      <w:r>
        <w:rPr>
          <w:rFonts w:eastAsia="楷体_GB2312"/>
          <w:sz w:val="31"/>
          <w:szCs w:val="31"/>
        </w:rPr>
        <w:t>（二）客观公正。</w:t>
      </w:r>
      <w:r>
        <w:rPr>
          <w:rFonts w:eastAsia="仿宋_GB2312"/>
          <w:sz w:val="31"/>
          <w:szCs w:val="31"/>
        </w:rPr>
        <w:t>确定统一数据处理标准、统一评价指标体系、统一评价结果分类，注重评价采集数据的原始性，对企业发展绩效作出客观评价。</w:t>
      </w:r>
    </w:p>
    <w:p>
      <w:pPr>
        <w:widowControl/>
        <w:spacing w:line="580" w:lineRule="exact"/>
        <w:ind w:firstLine="620" w:firstLineChars="200"/>
        <w:rPr>
          <w:rFonts w:eastAsia="仿宋_GB2312"/>
          <w:sz w:val="31"/>
          <w:szCs w:val="31"/>
        </w:rPr>
      </w:pPr>
      <w:r>
        <w:rPr>
          <w:rFonts w:eastAsia="楷体_GB2312"/>
          <w:sz w:val="31"/>
          <w:szCs w:val="31"/>
        </w:rPr>
        <w:t>（三）统筹推进。</w:t>
      </w:r>
      <w:r>
        <w:rPr>
          <w:rFonts w:eastAsia="仿宋_GB2312"/>
          <w:sz w:val="31"/>
          <w:szCs w:val="31"/>
        </w:rPr>
        <w:t>结合各县区、开发园区产业特点和发展需要，统筹建立企业亩均效益评价体系，并在实践过程中不断完善。</w:t>
      </w:r>
    </w:p>
    <w:p>
      <w:pPr>
        <w:widowControl/>
        <w:spacing w:line="580" w:lineRule="exact"/>
        <w:ind w:firstLine="620" w:firstLineChars="200"/>
        <w:rPr>
          <w:rFonts w:eastAsia="仿宋_GB2312"/>
          <w:sz w:val="31"/>
          <w:szCs w:val="31"/>
        </w:rPr>
      </w:pPr>
      <w:r>
        <w:rPr>
          <w:rFonts w:eastAsia="楷体_GB2312"/>
          <w:sz w:val="31"/>
          <w:szCs w:val="31"/>
        </w:rPr>
        <w:t>（四）分类施策。</w:t>
      </w:r>
      <w:r>
        <w:rPr>
          <w:rFonts w:eastAsia="仿宋_GB2312"/>
          <w:sz w:val="31"/>
          <w:szCs w:val="31"/>
        </w:rPr>
        <w:t>强化评价结果运用，根据不同区域、行业特点，分类指导，有步骤、分阶段地实施差别化政策。坚持正向引导为主，推动要素向高效益、高产出、高成长、高质量企业集聚；落实反向倒逼措施，倒逼落后和严重过剩产能退出、低效企业转型。</w:t>
      </w:r>
    </w:p>
    <w:p>
      <w:pPr>
        <w:widowControl/>
        <w:spacing w:line="580" w:lineRule="exact"/>
        <w:ind w:firstLine="620" w:firstLineChars="200"/>
        <w:jc w:val="left"/>
        <w:rPr>
          <w:rFonts w:eastAsia="黑体"/>
          <w:sz w:val="31"/>
          <w:szCs w:val="31"/>
        </w:rPr>
      </w:pPr>
      <w:r>
        <w:rPr>
          <w:rFonts w:eastAsia="黑体"/>
          <w:sz w:val="31"/>
          <w:szCs w:val="31"/>
        </w:rPr>
        <w:t>三、评价主体</w:t>
      </w:r>
    </w:p>
    <w:p>
      <w:pPr>
        <w:pStyle w:val="7"/>
        <w:spacing w:line="580" w:lineRule="exact"/>
        <w:ind w:firstLine="620" w:firstLineChars="200"/>
        <w:rPr>
          <w:sz w:val="31"/>
          <w:szCs w:val="31"/>
        </w:rPr>
      </w:pPr>
      <w:r>
        <w:rPr>
          <w:sz w:val="31"/>
          <w:szCs w:val="31"/>
        </w:rPr>
        <w:t>市企业亩均效益评价工作领导小组办公室。</w:t>
      </w:r>
    </w:p>
    <w:p>
      <w:pPr>
        <w:widowControl/>
        <w:spacing w:line="580" w:lineRule="exact"/>
        <w:ind w:firstLine="620" w:firstLineChars="200"/>
        <w:jc w:val="left"/>
        <w:rPr>
          <w:rFonts w:eastAsia="黑体"/>
          <w:sz w:val="31"/>
          <w:szCs w:val="31"/>
        </w:rPr>
      </w:pPr>
      <w:r>
        <w:rPr>
          <w:rFonts w:eastAsia="黑体"/>
          <w:sz w:val="31"/>
          <w:szCs w:val="31"/>
        </w:rPr>
        <w:t>四、评价方法</w:t>
      </w:r>
    </w:p>
    <w:p>
      <w:pPr>
        <w:pStyle w:val="7"/>
        <w:spacing w:line="580" w:lineRule="exact"/>
        <w:ind w:firstLine="620" w:firstLineChars="200"/>
        <w:rPr>
          <w:rFonts w:eastAsia="楷体_GB2312"/>
          <w:sz w:val="31"/>
          <w:szCs w:val="31"/>
        </w:rPr>
      </w:pPr>
      <w:r>
        <w:rPr>
          <w:rFonts w:eastAsia="楷体_GB2312"/>
          <w:sz w:val="31"/>
          <w:szCs w:val="31"/>
        </w:rPr>
        <w:t>（一）评价范围</w:t>
      </w:r>
    </w:p>
    <w:p>
      <w:pPr>
        <w:pStyle w:val="7"/>
        <w:spacing w:line="580" w:lineRule="exact"/>
        <w:ind w:firstLine="620" w:firstLineChars="200"/>
        <w:rPr>
          <w:sz w:val="31"/>
          <w:szCs w:val="31"/>
        </w:rPr>
      </w:pPr>
      <w:r>
        <w:rPr>
          <w:sz w:val="31"/>
          <w:szCs w:val="31"/>
        </w:rPr>
        <w:t>1．规模以上工业企业；</w:t>
      </w:r>
    </w:p>
    <w:p>
      <w:pPr>
        <w:pStyle w:val="7"/>
        <w:spacing w:line="580" w:lineRule="exact"/>
        <w:ind w:firstLine="620" w:firstLineChars="200"/>
        <w:rPr>
          <w:sz w:val="31"/>
          <w:szCs w:val="31"/>
        </w:rPr>
      </w:pPr>
      <w:r>
        <w:rPr>
          <w:sz w:val="31"/>
          <w:szCs w:val="31"/>
        </w:rPr>
        <w:t>2．实际使用土地面积在5亩（含）以上或租赁使用标准化厂房面积在3000平方米（含）以上的规模以下工业企业；</w:t>
      </w:r>
    </w:p>
    <w:p>
      <w:pPr>
        <w:pStyle w:val="7"/>
        <w:spacing w:line="580" w:lineRule="exact"/>
        <w:ind w:firstLine="620" w:firstLineChars="200"/>
        <w:rPr>
          <w:sz w:val="31"/>
          <w:szCs w:val="31"/>
        </w:rPr>
      </w:pPr>
      <w:r>
        <w:rPr>
          <w:sz w:val="31"/>
          <w:szCs w:val="31"/>
        </w:rPr>
        <w:t>3．年营业收入300万元以上的互联网等信息产业企业；</w:t>
      </w:r>
    </w:p>
    <w:p>
      <w:pPr>
        <w:pStyle w:val="7"/>
        <w:spacing w:line="580" w:lineRule="exact"/>
        <w:ind w:firstLine="620" w:firstLineChars="200"/>
        <w:rPr>
          <w:sz w:val="31"/>
          <w:szCs w:val="31"/>
        </w:rPr>
      </w:pPr>
      <w:r>
        <w:rPr>
          <w:sz w:val="31"/>
          <w:szCs w:val="31"/>
        </w:rPr>
        <w:t>主营业务为电力、热力、燃气、供水等资源能源生产企业，垃圾焚烧、污水处理等特殊类型企业不列入评价。</w:t>
      </w:r>
    </w:p>
    <w:p>
      <w:pPr>
        <w:pStyle w:val="7"/>
        <w:spacing w:line="580" w:lineRule="exact"/>
        <w:ind w:firstLine="620" w:firstLineChars="200"/>
        <w:rPr>
          <w:sz w:val="31"/>
          <w:szCs w:val="31"/>
        </w:rPr>
      </w:pPr>
      <w:r>
        <w:rPr>
          <w:sz w:val="31"/>
          <w:szCs w:val="31"/>
        </w:rPr>
        <w:t>对新设立企业、重大项目建设期内的企业、兼并重组类企业及其他暂不适宜纳入评价的企业，设置不超过3年的过渡期（自约定的竣工时间起），过渡期内根据实际情况可不实施评价。企业新上转型、技改项目涉及新增用地的，新增部分参照设置3年过渡期。</w:t>
      </w:r>
    </w:p>
    <w:p>
      <w:pPr>
        <w:pStyle w:val="7"/>
        <w:spacing w:line="580" w:lineRule="exact"/>
        <w:ind w:firstLine="620" w:firstLineChars="200"/>
        <w:rPr>
          <w:rFonts w:eastAsia="楷体_GB2312"/>
          <w:sz w:val="31"/>
          <w:szCs w:val="31"/>
        </w:rPr>
      </w:pPr>
      <w:r>
        <w:rPr>
          <w:rFonts w:eastAsia="楷体_GB2312"/>
          <w:sz w:val="31"/>
          <w:szCs w:val="31"/>
        </w:rPr>
        <w:t>（二）评价指标及权重（百分制）</w:t>
      </w:r>
    </w:p>
    <w:p>
      <w:pPr>
        <w:pStyle w:val="7"/>
        <w:spacing w:line="580" w:lineRule="exact"/>
        <w:ind w:firstLine="620" w:firstLineChars="200"/>
        <w:rPr>
          <w:sz w:val="31"/>
          <w:szCs w:val="31"/>
        </w:rPr>
      </w:pPr>
      <w:r>
        <w:rPr>
          <w:sz w:val="31"/>
          <w:szCs w:val="31"/>
        </w:rPr>
        <w:t>对一般工业企业和互联网等信息产业企业制定不同的评价指标。</w:t>
      </w:r>
    </w:p>
    <w:p>
      <w:pPr>
        <w:pStyle w:val="7"/>
        <w:spacing w:line="580" w:lineRule="exact"/>
        <w:ind w:firstLine="620" w:firstLineChars="200"/>
        <w:rPr>
          <w:sz w:val="31"/>
          <w:szCs w:val="31"/>
        </w:rPr>
      </w:pPr>
      <w:r>
        <w:rPr>
          <w:sz w:val="31"/>
          <w:szCs w:val="31"/>
        </w:rPr>
        <w:t>1．一般工业企业：亩均税收、综合税收、亩均营业收入、综合营业收入4项主要指标，基准分值分别为40分、30分、20分、10分。</w:t>
      </w:r>
    </w:p>
    <w:p>
      <w:pPr>
        <w:pStyle w:val="7"/>
        <w:spacing w:line="580" w:lineRule="exact"/>
        <w:ind w:firstLine="620" w:firstLineChars="200"/>
        <w:rPr>
          <w:sz w:val="31"/>
          <w:szCs w:val="31"/>
        </w:rPr>
      </w:pPr>
      <w:r>
        <w:rPr>
          <w:sz w:val="31"/>
          <w:szCs w:val="31"/>
        </w:rPr>
        <w:t>2．互联网等信息产业企业：单位税收、单位营业收入，基准分值分别为60分、40分。</w:t>
      </w:r>
    </w:p>
    <w:p>
      <w:pPr>
        <w:pStyle w:val="7"/>
        <w:spacing w:line="580" w:lineRule="exact"/>
        <w:ind w:firstLine="620" w:firstLineChars="200"/>
        <w:rPr>
          <w:sz w:val="31"/>
          <w:szCs w:val="31"/>
        </w:rPr>
      </w:pPr>
      <w:r>
        <w:rPr>
          <w:sz w:val="31"/>
          <w:szCs w:val="31"/>
        </w:rPr>
        <w:t>3．企业综合素质考核附加指标：最高加分20分。</w:t>
      </w:r>
    </w:p>
    <w:p>
      <w:pPr>
        <w:pStyle w:val="7"/>
        <w:spacing w:line="580" w:lineRule="exact"/>
        <w:ind w:firstLine="620" w:firstLineChars="200"/>
        <w:rPr>
          <w:rFonts w:eastAsia="楷体_GB2312"/>
          <w:sz w:val="31"/>
          <w:szCs w:val="31"/>
        </w:rPr>
      </w:pPr>
      <w:r>
        <w:rPr>
          <w:rFonts w:eastAsia="楷体_GB2312"/>
          <w:sz w:val="31"/>
          <w:szCs w:val="31"/>
        </w:rPr>
        <w:t>（三）计分方式</w:t>
      </w:r>
    </w:p>
    <w:p>
      <w:pPr>
        <w:pStyle w:val="7"/>
        <w:spacing w:line="580" w:lineRule="exact"/>
        <w:ind w:firstLine="620" w:firstLineChars="200"/>
        <w:rPr>
          <w:sz w:val="31"/>
          <w:szCs w:val="31"/>
        </w:rPr>
      </w:pPr>
      <w:r>
        <w:rPr>
          <w:sz w:val="31"/>
          <w:szCs w:val="31"/>
        </w:rPr>
        <w:t>企业得分为每项指标数据得分之和，每项指标最高得分不超过该项指标基准分的1.5倍，最低为0分。企业某项指标为负数或空缺的，该项得分为0分。为避免短期波动对企业评价指标的影响，综合评价企业动态发展质量，各项评价指标数据采用评价</w:t>
      </w:r>
      <w:r>
        <w:rPr>
          <w:spacing w:val="-6"/>
          <w:sz w:val="31"/>
          <w:szCs w:val="31"/>
        </w:rPr>
        <w:t>年度占70%、评价上一年度占30%加权计算获得。具体计算公式</w:t>
      </w:r>
      <w:r>
        <w:rPr>
          <w:sz w:val="31"/>
          <w:szCs w:val="31"/>
        </w:rPr>
        <w:t>为：</w:t>
      </w:r>
    </w:p>
    <w:p>
      <w:pPr>
        <w:spacing w:line="580" w:lineRule="exact"/>
        <w:ind w:firstLine="620" w:firstLineChars="200"/>
        <w:rPr>
          <w:rFonts w:eastAsia="仿宋_GB2312"/>
          <w:sz w:val="31"/>
          <w:szCs w:val="31"/>
        </w:rPr>
      </w:pPr>
      <w:r>
        <w:rPr>
          <w:rFonts w:eastAsia="仿宋_GB2312"/>
          <w:sz w:val="31"/>
          <w:szCs w:val="31"/>
        </w:rPr>
        <w:t>1．一般工业企业</w:t>
      </w:r>
    </w:p>
    <w:p>
      <w:pPr>
        <w:ind w:firstLine="596" w:firstLineChars="200"/>
        <w:rPr>
          <w:rFonts w:eastAsia="仿宋_GB2312"/>
          <w:b/>
          <w:sz w:val="32"/>
          <w:szCs w:val="32"/>
        </w:rPr>
      </w:pPr>
      <w:r>
        <w:rPr>
          <w:rFonts w:hint="eastAsia" w:eastAsia="仿宋_GB2312"/>
          <w:spacing w:val="-6"/>
          <w:sz w:val="31"/>
          <w:szCs w:val="31"/>
        </w:rPr>
        <w:t>企业实际得分</w:t>
      </w:r>
      <w:r>
        <w:rPr>
          <w:rFonts w:hint="eastAsia" w:eastAsia="仿宋_GB2312"/>
          <w:b/>
          <w:sz w:val="31"/>
          <w:szCs w:val="31"/>
        </w:rPr>
        <w:t>=</w:t>
      </w:r>
      <w:r>
        <w:rPr>
          <w:rFonts w:ascii="仿宋_GB2312" w:hAnsi="仿宋_GB2312" w:eastAsia="仿宋_GB2312" w:cs="Times New Roman"/>
          <w:b/>
          <w:kern w:val="2"/>
          <w:position w:val="-26"/>
          <w:sz w:val="32"/>
          <w:szCs w:val="32"/>
          <w:lang w:val="en-US" w:eastAsia="zh-CN" w:bidi="ar-SA"/>
        </w:rPr>
        <w:pict>
          <v:shape id="Picture 1" o:spid="_x0000_s1042" type="#_x0000_t75" style="height:33.75pt;width:69.7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eastAsia="仿宋_GB2312"/>
          <w:b/>
          <w:sz w:val="31"/>
          <w:szCs w:val="31"/>
        </w:rPr>
        <w:t>×40+</w:t>
      </w:r>
      <w:r>
        <w:rPr>
          <w:rFonts w:ascii="仿宋_GB2312" w:hAnsi="仿宋_GB2312" w:eastAsia="仿宋_GB2312" w:cs="Times New Roman"/>
          <w:b/>
          <w:kern w:val="2"/>
          <w:position w:val="-26"/>
          <w:sz w:val="32"/>
          <w:szCs w:val="32"/>
          <w:lang w:val="en-US" w:eastAsia="zh-CN" w:bidi="ar-SA"/>
        </w:rPr>
        <w:pict>
          <v:shape id="Picture 2" o:spid="_x0000_s1043" type="#_x0000_t75" style="height:33.75pt;width:73.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r>
        <w:rPr>
          <w:rFonts w:hint="eastAsia" w:eastAsia="仿宋_GB2312"/>
          <w:b/>
          <w:sz w:val="31"/>
          <w:szCs w:val="31"/>
        </w:rPr>
        <w:t>×30+</w:t>
      </w:r>
      <w:r>
        <w:rPr>
          <w:rFonts w:ascii="仿宋_GB2312" w:hAnsi="仿宋_GB2312" w:eastAsia="仿宋_GB2312" w:cs="Times New Roman"/>
          <w:b/>
          <w:kern w:val="2"/>
          <w:position w:val="-26"/>
          <w:sz w:val="32"/>
          <w:szCs w:val="32"/>
          <w:lang w:val="en-US" w:eastAsia="zh-CN" w:bidi="ar-SA"/>
        </w:rPr>
        <w:pict>
          <v:shape id="Picture 3" o:spid="_x0000_s1044" type="#_x0000_t75" style="height:32.25pt;width:78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r>
        <w:rPr>
          <w:rFonts w:hint="eastAsia" w:eastAsia="仿宋_GB2312"/>
          <w:b/>
          <w:sz w:val="31"/>
          <w:szCs w:val="31"/>
        </w:rPr>
        <w:t>×20+</w:t>
      </w:r>
      <w:r>
        <w:rPr>
          <w:rFonts w:ascii="仿宋_GB2312" w:hAnsi="仿宋_GB2312" w:eastAsia="仿宋_GB2312" w:cs="Times New Roman"/>
          <w:b/>
          <w:kern w:val="2"/>
          <w:position w:val="-26"/>
          <w:sz w:val="32"/>
          <w:szCs w:val="32"/>
          <w:lang w:val="en-US" w:eastAsia="zh-CN" w:bidi="ar-SA"/>
        </w:rPr>
        <w:pict>
          <v:shape id="Picture 4" o:spid="_x0000_s1045" type="#_x0000_t75" style="height:32.25pt;width:78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r>
        <w:rPr>
          <w:rFonts w:hint="eastAsia" w:eastAsia="仿宋_GB2312"/>
          <w:b/>
          <w:sz w:val="31"/>
          <w:szCs w:val="31"/>
        </w:rPr>
        <w:t>×10+</w:t>
      </w:r>
      <w:r>
        <w:rPr>
          <w:rFonts w:hint="eastAsia" w:eastAsia="仿宋_GB2312"/>
          <w:spacing w:val="-6"/>
          <w:sz w:val="31"/>
          <w:szCs w:val="31"/>
        </w:rPr>
        <w:t>企业综合素质附加分。</w:t>
      </w:r>
    </w:p>
    <w:p>
      <w:pPr>
        <w:spacing w:line="580" w:lineRule="exact"/>
        <w:ind w:firstLine="620" w:firstLineChars="200"/>
        <w:rPr>
          <w:rFonts w:eastAsia="仿宋_GB2312"/>
          <w:sz w:val="31"/>
          <w:szCs w:val="31"/>
        </w:rPr>
      </w:pPr>
      <w:r>
        <w:rPr>
          <w:rFonts w:eastAsia="仿宋_GB2312"/>
          <w:sz w:val="31"/>
          <w:szCs w:val="31"/>
        </w:rPr>
        <w:t>（亩均税收、综合税收、亩均营业收入、综合营业收入四项最高分分别不超过60分、45分、30分、15分）</w:t>
      </w:r>
    </w:p>
    <w:p>
      <w:pPr>
        <w:spacing w:line="580" w:lineRule="exact"/>
        <w:ind w:firstLine="620" w:firstLineChars="200"/>
        <w:rPr>
          <w:rFonts w:eastAsia="楷体_GB2312"/>
          <w:sz w:val="31"/>
          <w:szCs w:val="31"/>
        </w:rPr>
      </w:pPr>
      <w:r>
        <w:rPr>
          <w:rFonts w:eastAsia="仿宋_GB2312"/>
          <w:sz w:val="31"/>
          <w:szCs w:val="31"/>
        </w:rPr>
        <w:t>2．互联网等信息产业企业</w:t>
      </w:r>
    </w:p>
    <w:p>
      <w:pPr>
        <w:ind w:firstLine="620" w:firstLineChars="200"/>
        <w:rPr>
          <w:rFonts w:eastAsia="仿宋_GB2312"/>
          <w:sz w:val="31"/>
          <w:szCs w:val="31"/>
        </w:rPr>
      </w:pPr>
      <w:r>
        <w:rPr>
          <w:rFonts w:hint="eastAsia" w:eastAsia="仿宋_GB2312"/>
          <w:sz w:val="31"/>
          <w:szCs w:val="31"/>
        </w:rPr>
        <w:t>企业实际得分</w:t>
      </w:r>
      <w:r>
        <w:rPr>
          <w:rFonts w:hint="eastAsia" w:eastAsia="仿宋_GB2312"/>
          <w:b/>
          <w:sz w:val="31"/>
          <w:szCs w:val="31"/>
        </w:rPr>
        <w:t>=</w:t>
      </w:r>
      <w:r>
        <w:rPr>
          <w:rFonts w:ascii="仿宋_GB2312" w:hAnsi="仿宋_GB2312" w:eastAsia="仿宋_GB2312" w:cs="Times New Roman"/>
          <w:b/>
          <w:kern w:val="2"/>
          <w:position w:val="-26"/>
          <w:sz w:val="32"/>
          <w:szCs w:val="32"/>
          <w:lang w:val="en-US" w:eastAsia="zh-CN" w:bidi="ar-SA"/>
        </w:rPr>
        <w:pict>
          <v:shape id="Picture 5" o:spid="_x0000_s1046" type="#_x0000_t75" style="height:32.25pt;width:66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r>
        <w:rPr>
          <w:rFonts w:hint="eastAsia" w:eastAsia="仿宋_GB2312"/>
          <w:b/>
          <w:sz w:val="31"/>
          <w:szCs w:val="31"/>
        </w:rPr>
        <w:t>×60+</w:t>
      </w:r>
      <w:r>
        <w:rPr>
          <w:rFonts w:ascii="仿宋_GB2312" w:hAnsi="仿宋_GB2312" w:eastAsia="仿宋_GB2312" w:cs="Times New Roman"/>
          <w:b/>
          <w:kern w:val="2"/>
          <w:position w:val="-26"/>
          <w:sz w:val="32"/>
          <w:szCs w:val="32"/>
          <w:lang w:val="en-US" w:eastAsia="zh-CN" w:bidi="ar-SA"/>
        </w:rPr>
        <w:pict>
          <v:shape id="Picture 6" o:spid="_x0000_s1047" type="#_x0000_t75" style="height:32.25pt;width:78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r>
        <w:rPr>
          <w:rFonts w:hint="eastAsia" w:eastAsia="仿宋_GB2312"/>
          <w:b/>
          <w:sz w:val="31"/>
          <w:szCs w:val="31"/>
        </w:rPr>
        <w:t>×40+</w:t>
      </w:r>
      <w:r>
        <w:rPr>
          <w:rFonts w:hint="eastAsia" w:eastAsia="仿宋_GB2312"/>
          <w:sz w:val="31"/>
          <w:szCs w:val="31"/>
        </w:rPr>
        <w:t>企业综合素质附加分。</w:t>
      </w:r>
    </w:p>
    <w:p>
      <w:pPr>
        <w:spacing w:line="580" w:lineRule="exact"/>
        <w:ind w:firstLine="620" w:firstLineChars="200"/>
        <w:rPr>
          <w:rFonts w:eastAsia="仿宋_GB2312"/>
          <w:sz w:val="31"/>
          <w:szCs w:val="31"/>
        </w:rPr>
      </w:pPr>
      <w:r>
        <w:rPr>
          <w:rFonts w:eastAsia="仿宋_GB2312"/>
          <w:sz w:val="31"/>
          <w:szCs w:val="31"/>
        </w:rPr>
        <w:t>（单位税收、单位营业收入两项最高分分别不超过90分、60分）</w:t>
      </w:r>
    </w:p>
    <w:p>
      <w:pPr>
        <w:spacing w:line="580" w:lineRule="exact"/>
        <w:ind w:firstLine="620" w:firstLineChars="200"/>
        <w:rPr>
          <w:rFonts w:eastAsia="仿宋_GB2312"/>
          <w:sz w:val="31"/>
          <w:szCs w:val="31"/>
        </w:rPr>
      </w:pPr>
      <w:r>
        <w:rPr>
          <w:rFonts w:eastAsia="仿宋_GB2312"/>
          <w:sz w:val="31"/>
          <w:szCs w:val="31"/>
        </w:rPr>
        <w:t>3．指标解释及计算</w:t>
      </w:r>
    </w:p>
    <w:p>
      <w:pPr>
        <w:spacing w:line="580" w:lineRule="exact"/>
        <w:ind w:firstLine="620" w:firstLineChars="200"/>
        <w:rPr>
          <w:rFonts w:eastAsia="仿宋_GB2312"/>
          <w:sz w:val="31"/>
          <w:szCs w:val="31"/>
        </w:rPr>
      </w:pPr>
      <w:r>
        <w:rPr>
          <w:rFonts w:hint="eastAsia" w:eastAsia="仿宋_GB2312"/>
          <w:sz w:val="31"/>
          <w:szCs w:val="31"/>
        </w:rPr>
        <w:t>（1）</w:t>
      </w:r>
      <w:r>
        <w:rPr>
          <w:rFonts w:eastAsia="仿宋_GB2312"/>
          <w:sz w:val="31"/>
          <w:szCs w:val="31"/>
        </w:rPr>
        <w:t>亩均税收（万元/亩）：是指参评企业每个自然年度每亩地实际纳税额。</w:t>
      </w:r>
    </w:p>
    <w:p>
      <w:pPr>
        <w:spacing w:line="580" w:lineRule="exact"/>
        <w:ind w:firstLine="620" w:firstLineChars="200"/>
        <w:rPr>
          <w:rFonts w:eastAsia="仿宋_GB2312"/>
          <w:sz w:val="31"/>
          <w:szCs w:val="31"/>
        </w:rPr>
      </w:pPr>
      <w:r>
        <w:rPr>
          <w:rFonts w:eastAsia="仿宋_GB2312"/>
          <w:sz w:val="31"/>
          <w:szCs w:val="31"/>
        </w:rPr>
        <w:t>亩均税收</w:t>
      </w:r>
      <w:r>
        <w:rPr>
          <w:rFonts w:eastAsia="仿宋_GB2312"/>
          <w:b/>
          <w:sz w:val="31"/>
          <w:szCs w:val="31"/>
        </w:rPr>
        <w:t>=</w:t>
      </w:r>
      <w:r>
        <w:rPr>
          <w:rFonts w:eastAsia="仿宋_GB2312"/>
          <w:sz w:val="31"/>
          <w:szCs w:val="31"/>
        </w:rPr>
        <w:t>（评价年度综合税收</w:t>
      </w:r>
      <w:r>
        <w:rPr>
          <w:rFonts w:eastAsia="仿宋_GB2312"/>
          <w:b/>
          <w:sz w:val="31"/>
          <w:szCs w:val="31"/>
        </w:rPr>
        <w:t>×70%+</w:t>
      </w:r>
      <w:r>
        <w:rPr>
          <w:rFonts w:eastAsia="仿宋_GB2312"/>
          <w:sz w:val="31"/>
          <w:szCs w:val="31"/>
        </w:rPr>
        <w:t>评价上一年度综合税收</w:t>
      </w:r>
      <w:r>
        <w:rPr>
          <w:rFonts w:eastAsia="仿宋_GB2312"/>
          <w:b/>
          <w:sz w:val="31"/>
          <w:szCs w:val="31"/>
        </w:rPr>
        <w:t>×30%</w:t>
      </w:r>
      <w:r>
        <w:rPr>
          <w:rFonts w:eastAsia="仿宋_GB2312"/>
          <w:sz w:val="31"/>
          <w:szCs w:val="31"/>
        </w:rPr>
        <w:t>）</w:t>
      </w:r>
      <w:r>
        <w:rPr>
          <w:rFonts w:eastAsia="仿宋_GB2312"/>
          <w:b/>
          <w:sz w:val="31"/>
          <w:szCs w:val="31"/>
        </w:rPr>
        <w:t>/</w:t>
      </w:r>
      <w:r>
        <w:rPr>
          <w:rFonts w:eastAsia="仿宋_GB2312"/>
          <w:sz w:val="31"/>
          <w:szCs w:val="31"/>
        </w:rPr>
        <w:t>企业用地面积。</w:t>
      </w:r>
    </w:p>
    <w:p>
      <w:pPr>
        <w:spacing w:line="580" w:lineRule="exact"/>
        <w:ind w:firstLine="620" w:firstLineChars="200"/>
        <w:rPr>
          <w:rFonts w:eastAsia="仿宋_GB2312"/>
          <w:sz w:val="31"/>
          <w:szCs w:val="31"/>
        </w:rPr>
      </w:pPr>
      <w:r>
        <w:rPr>
          <w:rFonts w:hint="eastAsia" w:eastAsia="仿宋_GB2312"/>
          <w:sz w:val="31"/>
          <w:szCs w:val="31"/>
        </w:rPr>
        <w:t>（2）</w:t>
      </w:r>
      <w:r>
        <w:rPr>
          <w:rFonts w:eastAsia="仿宋_GB2312"/>
          <w:sz w:val="31"/>
          <w:szCs w:val="31"/>
        </w:rPr>
        <w:t>亩均营业收入（万元/亩）：是指参评企业每个自然年度每亩地营业收入。</w:t>
      </w:r>
    </w:p>
    <w:p>
      <w:pPr>
        <w:spacing w:line="580" w:lineRule="exact"/>
        <w:ind w:firstLine="620" w:firstLineChars="200"/>
        <w:rPr>
          <w:rFonts w:eastAsia="仿宋_GB2312"/>
          <w:sz w:val="31"/>
          <w:szCs w:val="31"/>
        </w:rPr>
      </w:pPr>
      <w:r>
        <w:rPr>
          <w:rFonts w:eastAsia="仿宋_GB2312"/>
          <w:sz w:val="31"/>
          <w:szCs w:val="31"/>
        </w:rPr>
        <w:t>亩均营业收入</w:t>
      </w:r>
      <w:r>
        <w:rPr>
          <w:rFonts w:eastAsia="仿宋_GB2312"/>
          <w:b/>
          <w:sz w:val="31"/>
          <w:szCs w:val="31"/>
        </w:rPr>
        <w:t>=</w:t>
      </w:r>
      <w:r>
        <w:rPr>
          <w:rFonts w:eastAsia="仿宋_GB2312"/>
          <w:sz w:val="31"/>
          <w:szCs w:val="31"/>
        </w:rPr>
        <w:t>（评价年度综合营业收入</w:t>
      </w:r>
      <w:r>
        <w:rPr>
          <w:rFonts w:eastAsia="仿宋_GB2312"/>
          <w:b/>
          <w:sz w:val="31"/>
          <w:szCs w:val="31"/>
        </w:rPr>
        <w:t>×70%+</w:t>
      </w:r>
      <w:r>
        <w:rPr>
          <w:rFonts w:eastAsia="仿宋_GB2312"/>
          <w:sz w:val="31"/>
          <w:szCs w:val="31"/>
        </w:rPr>
        <w:t>评价上一年度综合营业收入</w:t>
      </w:r>
      <w:r>
        <w:rPr>
          <w:rFonts w:eastAsia="仿宋_GB2312"/>
          <w:b/>
          <w:sz w:val="31"/>
          <w:szCs w:val="31"/>
        </w:rPr>
        <w:t>×30%</w:t>
      </w:r>
      <w:r>
        <w:rPr>
          <w:rFonts w:eastAsia="仿宋_GB2312"/>
          <w:sz w:val="31"/>
          <w:szCs w:val="31"/>
        </w:rPr>
        <w:t>）</w:t>
      </w:r>
      <w:r>
        <w:rPr>
          <w:rFonts w:eastAsia="仿宋_GB2312"/>
          <w:b/>
          <w:sz w:val="31"/>
          <w:szCs w:val="31"/>
        </w:rPr>
        <w:t>/</w:t>
      </w:r>
      <w:r>
        <w:rPr>
          <w:rFonts w:eastAsia="仿宋_GB2312"/>
          <w:sz w:val="31"/>
          <w:szCs w:val="31"/>
        </w:rPr>
        <w:t>企业用地面积。</w:t>
      </w:r>
    </w:p>
    <w:p>
      <w:pPr>
        <w:spacing w:line="580" w:lineRule="exact"/>
        <w:ind w:firstLine="620" w:firstLineChars="200"/>
        <w:rPr>
          <w:rFonts w:eastAsia="仿宋_GB2312"/>
          <w:sz w:val="31"/>
          <w:szCs w:val="31"/>
        </w:rPr>
      </w:pPr>
      <w:r>
        <w:rPr>
          <w:rFonts w:hint="eastAsia" w:eastAsia="仿宋_GB2312"/>
          <w:sz w:val="31"/>
          <w:szCs w:val="31"/>
        </w:rPr>
        <w:t>（3）</w:t>
      </w:r>
      <w:r>
        <w:rPr>
          <w:rFonts w:eastAsia="仿宋_GB2312"/>
          <w:sz w:val="31"/>
          <w:szCs w:val="31"/>
        </w:rPr>
        <w:t>综合税收（万元）：是指参评企业在评价年度与评价上一年度加权计算得出的税务部门征收入库的税金总额。（由税务部门提供、认定）</w:t>
      </w:r>
    </w:p>
    <w:p>
      <w:pPr>
        <w:spacing w:line="580" w:lineRule="exact"/>
        <w:ind w:firstLine="620" w:firstLineChars="200"/>
        <w:rPr>
          <w:rFonts w:eastAsia="仿宋_GB2312"/>
          <w:sz w:val="31"/>
          <w:szCs w:val="31"/>
        </w:rPr>
      </w:pPr>
      <w:r>
        <w:rPr>
          <w:rFonts w:eastAsia="仿宋_GB2312"/>
          <w:sz w:val="31"/>
          <w:szCs w:val="31"/>
        </w:rPr>
        <w:t>综合税收=评价年度综合税收</w:t>
      </w:r>
      <w:r>
        <w:rPr>
          <w:rFonts w:eastAsia="仿宋_GB2312"/>
          <w:b/>
          <w:sz w:val="31"/>
          <w:szCs w:val="31"/>
        </w:rPr>
        <w:t>×70%+</w:t>
      </w:r>
      <w:r>
        <w:rPr>
          <w:rFonts w:eastAsia="仿宋_GB2312"/>
          <w:sz w:val="31"/>
          <w:szCs w:val="31"/>
        </w:rPr>
        <w:t>评价上一年度综合税收</w:t>
      </w:r>
      <w:r>
        <w:rPr>
          <w:rFonts w:eastAsia="仿宋_GB2312"/>
          <w:b/>
          <w:sz w:val="31"/>
          <w:szCs w:val="31"/>
        </w:rPr>
        <w:t>×30%</w:t>
      </w:r>
      <w:r>
        <w:rPr>
          <w:rFonts w:eastAsia="仿宋_GB2312"/>
          <w:sz w:val="31"/>
          <w:szCs w:val="31"/>
        </w:rPr>
        <w:t>。</w:t>
      </w:r>
    </w:p>
    <w:p>
      <w:pPr>
        <w:spacing w:line="580" w:lineRule="exact"/>
        <w:ind w:firstLine="620" w:firstLineChars="200"/>
        <w:rPr>
          <w:rFonts w:eastAsia="仿宋_GB2312"/>
          <w:sz w:val="31"/>
          <w:szCs w:val="31"/>
        </w:rPr>
      </w:pPr>
      <w:r>
        <w:rPr>
          <w:rFonts w:hint="eastAsia" w:eastAsia="仿宋_GB2312"/>
          <w:sz w:val="31"/>
          <w:szCs w:val="31"/>
        </w:rPr>
        <w:t>（4）</w:t>
      </w:r>
      <w:r>
        <w:rPr>
          <w:rFonts w:eastAsia="仿宋_GB2312"/>
          <w:sz w:val="31"/>
          <w:szCs w:val="31"/>
        </w:rPr>
        <w:t>综合营业收入（万元）：是指参评企业在评价年度与评价上一年度加权计算得出的营业收入总额。（由税务部门提供、认定）</w:t>
      </w:r>
    </w:p>
    <w:p>
      <w:pPr>
        <w:spacing w:line="580" w:lineRule="exact"/>
        <w:ind w:firstLine="620" w:firstLineChars="200"/>
        <w:rPr>
          <w:rFonts w:eastAsia="仿宋_GB2312"/>
          <w:sz w:val="31"/>
          <w:szCs w:val="31"/>
        </w:rPr>
      </w:pPr>
      <w:r>
        <w:rPr>
          <w:rFonts w:eastAsia="仿宋_GB2312"/>
          <w:sz w:val="31"/>
          <w:szCs w:val="31"/>
        </w:rPr>
        <w:t>综合营业收入</w:t>
      </w:r>
      <w:r>
        <w:rPr>
          <w:rFonts w:eastAsia="仿宋_GB2312"/>
          <w:b/>
          <w:sz w:val="31"/>
          <w:szCs w:val="31"/>
        </w:rPr>
        <w:t>=</w:t>
      </w:r>
      <w:r>
        <w:rPr>
          <w:rFonts w:eastAsia="仿宋_GB2312"/>
          <w:sz w:val="31"/>
          <w:szCs w:val="31"/>
        </w:rPr>
        <w:t>评价年度综合营业收入</w:t>
      </w:r>
      <w:r>
        <w:rPr>
          <w:rFonts w:eastAsia="仿宋_GB2312"/>
          <w:b/>
          <w:sz w:val="31"/>
          <w:szCs w:val="31"/>
        </w:rPr>
        <w:t>×70%+</w:t>
      </w:r>
      <w:r>
        <w:rPr>
          <w:rFonts w:eastAsia="仿宋_GB2312"/>
          <w:sz w:val="31"/>
          <w:szCs w:val="31"/>
        </w:rPr>
        <w:t>评价上一年度综合营业收入</w:t>
      </w:r>
      <w:r>
        <w:rPr>
          <w:rFonts w:eastAsia="仿宋_GB2312"/>
          <w:b/>
          <w:sz w:val="31"/>
          <w:szCs w:val="31"/>
        </w:rPr>
        <w:t>×30%</w:t>
      </w:r>
      <w:r>
        <w:rPr>
          <w:rFonts w:eastAsia="仿宋_GB2312"/>
          <w:sz w:val="31"/>
          <w:szCs w:val="31"/>
        </w:rPr>
        <w:t>。</w:t>
      </w:r>
    </w:p>
    <w:p>
      <w:pPr>
        <w:spacing w:line="580" w:lineRule="exact"/>
        <w:ind w:firstLine="620" w:firstLineChars="200"/>
        <w:rPr>
          <w:rFonts w:eastAsia="仿宋_GB2312"/>
          <w:sz w:val="31"/>
          <w:szCs w:val="31"/>
        </w:rPr>
      </w:pPr>
      <w:r>
        <w:rPr>
          <w:rFonts w:hint="eastAsia" w:eastAsia="仿宋_GB2312"/>
          <w:sz w:val="31"/>
          <w:szCs w:val="31"/>
        </w:rPr>
        <w:t>（5）</w:t>
      </w:r>
      <w:r>
        <w:rPr>
          <w:rFonts w:eastAsia="仿宋_GB2312"/>
          <w:sz w:val="31"/>
          <w:szCs w:val="31"/>
        </w:rPr>
        <w:t>单位税收（万元/平方米）：是指参评互联网等信息产业企业每个自然年度单位用地面积上的纳税额。</w:t>
      </w:r>
    </w:p>
    <w:p>
      <w:pPr>
        <w:spacing w:line="580" w:lineRule="exact"/>
        <w:ind w:firstLine="620" w:firstLineChars="200"/>
        <w:rPr>
          <w:rFonts w:eastAsia="仿宋_GB2312"/>
          <w:sz w:val="31"/>
          <w:szCs w:val="31"/>
        </w:rPr>
      </w:pPr>
      <w:r>
        <w:rPr>
          <w:rFonts w:eastAsia="仿宋_GB2312"/>
          <w:sz w:val="31"/>
          <w:szCs w:val="31"/>
        </w:rPr>
        <w:t>单位税收</w:t>
      </w:r>
      <w:r>
        <w:rPr>
          <w:rFonts w:eastAsia="仿宋_GB2312"/>
          <w:b/>
          <w:sz w:val="31"/>
          <w:szCs w:val="31"/>
        </w:rPr>
        <w:t>=</w:t>
      </w:r>
      <w:r>
        <w:rPr>
          <w:rFonts w:eastAsia="仿宋_GB2312"/>
          <w:sz w:val="31"/>
          <w:szCs w:val="31"/>
        </w:rPr>
        <w:t>（评价年度综合税收</w:t>
      </w:r>
      <w:r>
        <w:rPr>
          <w:rFonts w:eastAsia="仿宋_GB2312"/>
          <w:b/>
          <w:sz w:val="31"/>
          <w:szCs w:val="31"/>
        </w:rPr>
        <w:t>×70%+</w:t>
      </w:r>
      <w:r>
        <w:rPr>
          <w:rFonts w:eastAsia="仿宋_GB2312"/>
          <w:sz w:val="31"/>
          <w:szCs w:val="31"/>
        </w:rPr>
        <w:t>评价上一年度综合税收</w:t>
      </w:r>
      <w:r>
        <w:rPr>
          <w:rFonts w:eastAsia="仿宋_GB2312"/>
          <w:b/>
          <w:sz w:val="31"/>
          <w:szCs w:val="31"/>
        </w:rPr>
        <w:t>×30%</w:t>
      </w:r>
      <w:r>
        <w:rPr>
          <w:rFonts w:eastAsia="仿宋_GB2312"/>
          <w:sz w:val="31"/>
          <w:szCs w:val="31"/>
        </w:rPr>
        <w:t>）</w:t>
      </w:r>
      <w:r>
        <w:rPr>
          <w:rFonts w:eastAsia="仿宋_GB2312"/>
          <w:b/>
          <w:sz w:val="31"/>
          <w:szCs w:val="31"/>
        </w:rPr>
        <w:t>/</w:t>
      </w:r>
      <w:r>
        <w:rPr>
          <w:rFonts w:eastAsia="仿宋_GB2312"/>
          <w:sz w:val="31"/>
          <w:szCs w:val="31"/>
        </w:rPr>
        <w:t>企业用地面积。</w:t>
      </w:r>
    </w:p>
    <w:p>
      <w:pPr>
        <w:spacing w:line="580" w:lineRule="exact"/>
        <w:ind w:firstLine="620" w:firstLineChars="200"/>
        <w:rPr>
          <w:rFonts w:eastAsia="仿宋_GB2312"/>
          <w:sz w:val="31"/>
          <w:szCs w:val="31"/>
        </w:rPr>
      </w:pPr>
      <w:r>
        <w:rPr>
          <w:rFonts w:hint="eastAsia" w:eastAsia="仿宋_GB2312"/>
          <w:sz w:val="31"/>
          <w:szCs w:val="31"/>
        </w:rPr>
        <w:t>（6）</w:t>
      </w:r>
      <w:r>
        <w:rPr>
          <w:rFonts w:eastAsia="仿宋_GB2312"/>
          <w:sz w:val="31"/>
          <w:szCs w:val="31"/>
        </w:rPr>
        <w:t>单位营业收入（万元</w:t>
      </w:r>
      <w:r>
        <w:rPr>
          <w:rFonts w:eastAsia="仿宋_GB2312"/>
          <w:b/>
          <w:sz w:val="31"/>
          <w:szCs w:val="31"/>
        </w:rPr>
        <w:t>/</w:t>
      </w:r>
      <w:r>
        <w:rPr>
          <w:rFonts w:eastAsia="仿宋_GB2312"/>
          <w:sz w:val="31"/>
          <w:szCs w:val="31"/>
        </w:rPr>
        <w:t>平方米）：是指参评互联网等信息产业企业每个自然年度单位用地面积的营业收入。</w:t>
      </w:r>
    </w:p>
    <w:p>
      <w:pPr>
        <w:spacing w:line="580" w:lineRule="exact"/>
        <w:ind w:firstLine="620" w:firstLineChars="200"/>
        <w:rPr>
          <w:rFonts w:eastAsia="仿宋_GB2312"/>
          <w:sz w:val="31"/>
          <w:szCs w:val="31"/>
        </w:rPr>
      </w:pPr>
      <w:r>
        <w:rPr>
          <w:rFonts w:eastAsia="仿宋_GB2312"/>
          <w:sz w:val="31"/>
          <w:szCs w:val="31"/>
        </w:rPr>
        <w:t>单位营业收入</w:t>
      </w:r>
      <w:r>
        <w:rPr>
          <w:rFonts w:eastAsia="仿宋_GB2312"/>
          <w:b/>
          <w:sz w:val="31"/>
          <w:szCs w:val="31"/>
        </w:rPr>
        <w:t>=</w:t>
      </w:r>
      <w:r>
        <w:rPr>
          <w:rFonts w:eastAsia="仿宋_GB2312"/>
          <w:sz w:val="31"/>
          <w:szCs w:val="31"/>
        </w:rPr>
        <w:t>（评价年度综合营业收入</w:t>
      </w:r>
      <w:r>
        <w:rPr>
          <w:rFonts w:eastAsia="仿宋_GB2312"/>
          <w:b/>
          <w:sz w:val="31"/>
          <w:szCs w:val="31"/>
        </w:rPr>
        <w:t>×70%+</w:t>
      </w:r>
      <w:r>
        <w:rPr>
          <w:rFonts w:eastAsia="仿宋_GB2312"/>
          <w:sz w:val="31"/>
          <w:szCs w:val="31"/>
        </w:rPr>
        <w:t>评价上一年度综合营业收入</w:t>
      </w:r>
      <w:r>
        <w:rPr>
          <w:rFonts w:eastAsia="仿宋_GB2312"/>
          <w:b/>
          <w:sz w:val="31"/>
          <w:szCs w:val="31"/>
        </w:rPr>
        <w:t>×30%</w:t>
      </w:r>
      <w:r>
        <w:rPr>
          <w:rFonts w:eastAsia="仿宋_GB2312"/>
          <w:sz w:val="31"/>
          <w:szCs w:val="31"/>
        </w:rPr>
        <w:t>）</w:t>
      </w:r>
      <w:r>
        <w:rPr>
          <w:rFonts w:eastAsia="仿宋_GB2312"/>
          <w:b/>
          <w:sz w:val="31"/>
          <w:szCs w:val="31"/>
        </w:rPr>
        <w:t>/</w:t>
      </w:r>
      <w:r>
        <w:rPr>
          <w:rFonts w:eastAsia="仿宋_GB2312"/>
          <w:sz w:val="31"/>
          <w:szCs w:val="31"/>
        </w:rPr>
        <w:t>企业用地面积。</w:t>
      </w:r>
    </w:p>
    <w:p>
      <w:pPr>
        <w:spacing w:line="580" w:lineRule="exact"/>
        <w:ind w:firstLine="620" w:firstLineChars="200"/>
        <w:rPr>
          <w:rFonts w:eastAsia="仿宋_GB2312"/>
          <w:sz w:val="31"/>
          <w:szCs w:val="31"/>
        </w:rPr>
      </w:pPr>
      <w:r>
        <w:rPr>
          <w:rFonts w:hint="eastAsia" w:eastAsia="仿宋_GB2312"/>
          <w:sz w:val="31"/>
          <w:szCs w:val="31"/>
        </w:rPr>
        <w:t>（7）</w:t>
      </w:r>
      <w:r>
        <w:rPr>
          <w:rFonts w:eastAsia="仿宋_GB2312"/>
          <w:sz w:val="31"/>
          <w:szCs w:val="31"/>
        </w:rPr>
        <w:t>用地面积：指参评企业实际使用（含租赁）土地的面积，分自然资源和规划部门已登记和未登记的工业用地面积，对于“一企多地”，应将相应土地和其他数据合并计算。已登记工业用地面积指企业经自然资源和规划部门登记或批准的工业和仓储两类用地的土地面积；未登记工业用地面积指企业以租用或其他方式取得的工业用地面积。在合同规定竣工期限到期前的土地，评价年度没有产出的，新增土地面积不纳入评价。（由自然资源和规划部门提供、认定）</w:t>
      </w:r>
    </w:p>
    <w:p>
      <w:pPr>
        <w:spacing w:line="580" w:lineRule="exact"/>
        <w:ind w:firstLine="620" w:firstLineChars="200"/>
        <w:rPr>
          <w:rFonts w:eastAsia="仿宋_GB2312"/>
          <w:sz w:val="31"/>
          <w:szCs w:val="31"/>
        </w:rPr>
      </w:pPr>
      <w:r>
        <w:rPr>
          <w:rFonts w:hint="eastAsia" w:eastAsia="仿宋_GB2312"/>
          <w:sz w:val="31"/>
          <w:szCs w:val="31"/>
        </w:rPr>
        <w:t>（8）</w:t>
      </w:r>
      <w:r>
        <w:rPr>
          <w:rFonts w:eastAsia="仿宋_GB2312"/>
          <w:sz w:val="31"/>
          <w:szCs w:val="31"/>
        </w:rPr>
        <w:t>指标基准值：为既充分体现优势企业与低效企业间的差距,又避免因差距过大导致结果失真，亩均税收、综合税收、亩均营业收入、综合营业收入、单位税收、单位营业收入6项评价指标分别设立指标基准值，基准值根据当年全市参评企业评价指标总体情况确定。</w:t>
      </w:r>
    </w:p>
    <w:p>
      <w:pPr>
        <w:pStyle w:val="7"/>
        <w:spacing w:line="580" w:lineRule="exact"/>
        <w:ind w:firstLine="620" w:firstLineChars="200"/>
        <w:rPr>
          <w:sz w:val="31"/>
          <w:szCs w:val="31"/>
        </w:rPr>
      </w:pPr>
      <w:r>
        <w:rPr>
          <w:sz w:val="31"/>
          <w:szCs w:val="31"/>
        </w:rPr>
        <w:t>4．企业综合素质附加指标</w:t>
      </w:r>
    </w:p>
    <w:p>
      <w:pPr>
        <w:pStyle w:val="7"/>
        <w:spacing w:line="580" w:lineRule="exact"/>
        <w:ind w:firstLine="620" w:firstLineChars="200"/>
        <w:rPr>
          <w:sz w:val="31"/>
          <w:szCs w:val="31"/>
        </w:rPr>
      </w:pPr>
      <w:r>
        <w:rPr>
          <w:sz w:val="31"/>
          <w:szCs w:val="31"/>
        </w:rPr>
        <w:t>为引导和鼓励企业创新发展、绿色发展、守法经营，指标体系中增设综合素质加分项目，最高加分不超过20分。包括：</w:t>
      </w:r>
    </w:p>
    <w:tbl>
      <w:tblPr>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72"/>
        <w:gridCol w:w="1684"/>
        <w:gridCol w:w="4394"/>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2" w:hRule="atLeast"/>
          <w:jc w:val="center"/>
        </w:trPr>
        <w:tc>
          <w:tcPr>
            <w:tcW w:w="772" w:type="dxa"/>
            <w:vAlign w:val="center"/>
          </w:tcPr>
          <w:p>
            <w:pPr>
              <w:spacing w:line="300" w:lineRule="exact"/>
              <w:jc w:val="center"/>
              <w:rPr>
                <w:rFonts w:eastAsia="微软雅黑"/>
                <w:sz w:val="24"/>
                <w:szCs w:val="24"/>
              </w:rPr>
            </w:pPr>
            <w:r>
              <w:rPr>
                <w:rFonts w:eastAsia="微软雅黑"/>
                <w:sz w:val="24"/>
                <w:szCs w:val="24"/>
              </w:rPr>
              <w:t>序号</w:t>
            </w:r>
          </w:p>
        </w:tc>
        <w:tc>
          <w:tcPr>
            <w:tcW w:w="1684" w:type="dxa"/>
            <w:vAlign w:val="center"/>
          </w:tcPr>
          <w:p>
            <w:pPr>
              <w:spacing w:line="300" w:lineRule="exact"/>
              <w:jc w:val="center"/>
              <w:rPr>
                <w:rFonts w:eastAsia="微软雅黑"/>
                <w:sz w:val="24"/>
                <w:szCs w:val="24"/>
              </w:rPr>
            </w:pPr>
            <w:r>
              <w:rPr>
                <w:rFonts w:eastAsia="微软雅黑"/>
                <w:sz w:val="24"/>
                <w:szCs w:val="24"/>
              </w:rPr>
              <w:t>加分项</w:t>
            </w:r>
          </w:p>
        </w:tc>
        <w:tc>
          <w:tcPr>
            <w:tcW w:w="4394" w:type="dxa"/>
            <w:vAlign w:val="center"/>
          </w:tcPr>
          <w:p>
            <w:pPr>
              <w:spacing w:line="300" w:lineRule="exact"/>
              <w:jc w:val="center"/>
              <w:rPr>
                <w:rFonts w:eastAsia="微软雅黑"/>
                <w:sz w:val="24"/>
                <w:szCs w:val="24"/>
              </w:rPr>
            </w:pPr>
            <w:r>
              <w:rPr>
                <w:rFonts w:eastAsia="微软雅黑"/>
                <w:sz w:val="24"/>
                <w:szCs w:val="24"/>
              </w:rPr>
              <w:t>加分细则</w:t>
            </w:r>
          </w:p>
        </w:tc>
        <w:tc>
          <w:tcPr>
            <w:tcW w:w="1480" w:type="dxa"/>
            <w:vAlign w:val="center"/>
          </w:tcPr>
          <w:p>
            <w:pPr>
              <w:spacing w:line="300" w:lineRule="exact"/>
              <w:jc w:val="center"/>
              <w:rPr>
                <w:rFonts w:eastAsia="微软雅黑"/>
                <w:sz w:val="24"/>
                <w:szCs w:val="24"/>
              </w:rPr>
            </w:pPr>
            <w:r>
              <w:rPr>
                <w:rFonts w:eastAsia="微软雅黑"/>
                <w:sz w:val="24"/>
                <w:szCs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772" w:type="dxa"/>
            <w:vAlign w:val="center"/>
          </w:tcPr>
          <w:p>
            <w:pPr>
              <w:spacing w:line="300" w:lineRule="exact"/>
              <w:jc w:val="center"/>
              <w:rPr>
                <w:rFonts w:eastAsia="黑体"/>
                <w:szCs w:val="21"/>
              </w:rPr>
            </w:pPr>
            <w:r>
              <w:rPr>
                <w:rFonts w:eastAsia="黑体"/>
                <w:szCs w:val="21"/>
              </w:rPr>
              <w:t>1</w:t>
            </w:r>
          </w:p>
        </w:tc>
        <w:tc>
          <w:tcPr>
            <w:tcW w:w="1684" w:type="dxa"/>
            <w:vAlign w:val="center"/>
          </w:tcPr>
          <w:p>
            <w:pPr>
              <w:spacing w:line="300" w:lineRule="exact"/>
              <w:jc w:val="center"/>
              <w:rPr>
                <w:rFonts w:eastAsia="黑体"/>
                <w:szCs w:val="21"/>
              </w:rPr>
            </w:pPr>
            <w:r>
              <w:rPr>
                <w:rFonts w:eastAsia="黑体"/>
                <w:szCs w:val="21"/>
              </w:rPr>
              <w:t>品牌</w:t>
            </w:r>
          </w:p>
        </w:tc>
        <w:tc>
          <w:tcPr>
            <w:tcW w:w="4394" w:type="dxa"/>
            <w:vAlign w:val="center"/>
          </w:tcPr>
          <w:p>
            <w:pPr>
              <w:spacing w:line="300" w:lineRule="exact"/>
              <w:jc w:val="left"/>
              <w:rPr>
                <w:szCs w:val="21"/>
              </w:rPr>
            </w:pPr>
            <w:r>
              <w:rPr>
                <w:rFonts w:hAnsi="宋体"/>
                <w:szCs w:val="21"/>
              </w:rPr>
              <w:t>国家级</w:t>
            </w:r>
            <w:r>
              <w:rPr>
                <w:szCs w:val="21"/>
              </w:rPr>
              <w:t>5</w:t>
            </w:r>
            <w:r>
              <w:rPr>
                <w:rFonts w:hAnsi="宋体"/>
                <w:szCs w:val="21"/>
              </w:rPr>
              <w:t>分</w:t>
            </w:r>
          </w:p>
        </w:tc>
        <w:tc>
          <w:tcPr>
            <w:tcW w:w="1480" w:type="dxa"/>
            <w:vMerge w:val="restart"/>
            <w:vAlign w:val="center"/>
          </w:tcPr>
          <w:p>
            <w:pPr>
              <w:spacing w:line="300" w:lineRule="exact"/>
              <w:jc w:val="center"/>
              <w:rPr>
                <w:szCs w:val="21"/>
              </w:rPr>
            </w:pPr>
            <w:r>
              <w:rPr>
                <w:rFonts w:hAnsi="宋体"/>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1" w:hRule="atLeast"/>
          <w:jc w:val="center"/>
        </w:trPr>
        <w:tc>
          <w:tcPr>
            <w:tcW w:w="772" w:type="dxa"/>
            <w:vAlign w:val="center"/>
          </w:tcPr>
          <w:p>
            <w:pPr>
              <w:spacing w:line="300" w:lineRule="exact"/>
              <w:jc w:val="center"/>
              <w:rPr>
                <w:rFonts w:eastAsia="黑体"/>
                <w:szCs w:val="21"/>
              </w:rPr>
            </w:pPr>
            <w:r>
              <w:rPr>
                <w:rFonts w:eastAsia="黑体"/>
                <w:szCs w:val="21"/>
              </w:rPr>
              <w:t>2</w:t>
            </w:r>
          </w:p>
        </w:tc>
        <w:tc>
          <w:tcPr>
            <w:tcW w:w="1684" w:type="dxa"/>
            <w:vAlign w:val="center"/>
          </w:tcPr>
          <w:p>
            <w:pPr>
              <w:spacing w:line="300" w:lineRule="exact"/>
              <w:jc w:val="center"/>
              <w:rPr>
                <w:rFonts w:eastAsia="黑体"/>
                <w:szCs w:val="21"/>
              </w:rPr>
            </w:pPr>
            <w:r>
              <w:rPr>
                <w:rFonts w:eastAsia="黑体"/>
                <w:szCs w:val="21"/>
              </w:rPr>
              <w:t>质量</w:t>
            </w:r>
          </w:p>
        </w:tc>
        <w:tc>
          <w:tcPr>
            <w:tcW w:w="4394" w:type="dxa"/>
            <w:vAlign w:val="center"/>
          </w:tcPr>
          <w:p>
            <w:pPr>
              <w:spacing w:line="300" w:lineRule="exact"/>
              <w:jc w:val="left"/>
              <w:rPr>
                <w:szCs w:val="21"/>
              </w:rPr>
            </w:pPr>
            <w:r>
              <w:rPr>
                <w:rFonts w:hAnsi="宋体"/>
                <w:szCs w:val="21"/>
              </w:rPr>
              <w:t>中国质量奖</w:t>
            </w:r>
            <w:r>
              <w:rPr>
                <w:szCs w:val="21"/>
              </w:rPr>
              <w:t>5</w:t>
            </w:r>
            <w:r>
              <w:rPr>
                <w:rFonts w:hAnsi="宋体"/>
                <w:szCs w:val="21"/>
              </w:rPr>
              <w:t>分、省长质量奖</w:t>
            </w:r>
            <w:r>
              <w:rPr>
                <w:szCs w:val="21"/>
              </w:rPr>
              <w:t>3</w:t>
            </w:r>
            <w:r>
              <w:rPr>
                <w:rFonts w:hAnsi="宋体"/>
                <w:szCs w:val="21"/>
              </w:rPr>
              <w:t>分、市长质量奖</w:t>
            </w:r>
            <w:r>
              <w:rPr>
                <w:szCs w:val="21"/>
              </w:rPr>
              <w:t>1</w:t>
            </w:r>
            <w:r>
              <w:rPr>
                <w:rFonts w:hAnsi="宋体"/>
                <w:szCs w:val="21"/>
              </w:rPr>
              <w:t>分</w:t>
            </w:r>
          </w:p>
        </w:tc>
        <w:tc>
          <w:tcPr>
            <w:tcW w:w="1480" w:type="dxa"/>
            <w:vMerge w:val="continue"/>
            <w:vAlign w:val="center"/>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8" w:hRule="atLeast"/>
          <w:jc w:val="center"/>
        </w:trPr>
        <w:tc>
          <w:tcPr>
            <w:tcW w:w="772" w:type="dxa"/>
            <w:vAlign w:val="center"/>
          </w:tcPr>
          <w:p>
            <w:pPr>
              <w:spacing w:line="300" w:lineRule="exact"/>
              <w:jc w:val="center"/>
              <w:rPr>
                <w:rFonts w:eastAsia="黑体"/>
                <w:szCs w:val="21"/>
              </w:rPr>
            </w:pPr>
            <w:r>
              <w:rPr>
                <w:rFonts w:eastAsia="黑体"/>
                <w:szCs w:val="21"/>
              </w:rPr>
              <w:t>3</w:t>
            </w:r>
          </w:p>
        </w:tc>
        <w:tc>
          <w:tcPr>
            <w:tcW w:w="1684" w:type="dxa"/>
            <w:vAlign w:val="center"/>
          </w:tcPr>
          <w:p>
            <w:pPr>
              <w:spacing w:line="300" w:lineRule="exact"/>
              <w:jc w:val="center"/>
              <w:rPr>
                <w:rFonts w:eastAsia="黑体"/>
                <w:szCs w:val="21"/>
              </w:rPr>
            </w:pPr>
            <w:r>
              <w:rPr>
                <w:rFonts w:eastAsia="黑体"/>
                <w:szCs w:val="21"/>
              </w:rPr>
              <w:t>高新技术企业</w:t>
            </w:r>
          </w:p>
        </w:tc>
        <w:tc>
          <w:tcPr>
            <w:tcW w:w="4394" w:type="dxa"/>
            <w:vAlign w:val="center"/>
          </w:tcPr>
          <w:p>
            <w:pPr>
              <w:spacing w:line="300" w:lineRule="exact"/>
              <w:jc w:val="left"/>
              <w:rPr>
                <w:szCs w:val="21"/>
              </w:rPr>
            </w:pPr>
            <w:r>
              <w:rPr>
                <w:rFonts w:hAnsi="宋体"/>
                <w:szCs w:val="21"/>
              </w:rPr>
              <w:t>高新技术企业加</w:t>
            </w:r>
            <w:r>
              <w:rPr>
                <w:szCs w:val="21"/>
              </w:rPr>
              <w:t>3</w:t>
            </w:r>
            <w:r>
              <w:rPr>
                <w:rFonts w:hAnsi="宋体"/>
                <w:szCs w:val="21"/>
              </w:rPr>
              <w:t>分</w:t>
            </w:r>
          </w:p>
        </w:tc>
        <w:tc>
          <w:tcPr>
            <w:tcW w:w="1480" w:type="dxa"/>
            <w:vAlign w:val="center"/>
          </w:tcPr>
          <w:p>
            <w:pPr>
              <w:spacing w:line="300" w:lineRule="exact"/>
              <w:jc w:val="center"/>
              <w:rPr>
                <w:szCs w:val="21"/>
              </w:rPr>
            </w:pPr>
            <w:r>
              <w:rPr>
                <w:rFonts w:hAnsi="宋体"/>
                <w:szCs w:val="21"/>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 w:hRule="atLeast"/>
          <w:jc w:val="center"/>
        </w:trPr>
        <w:tc>
          <w:tcPr>
            <w:tcW w:w="772" w:type="dxa"/>
            <w:vAlign w:val="center"/>
          </w:tcPr>
          <w:p>
            <w:pPr>
              <w:spacing w:line="300" w:lineRule="exact"/>
              <w:jc w:val="center"/>
              <w:rPr>
                <w:rFonts w:eastAsia="黑体"/>
                <w:szCs w:val="21"/>
              </w:rPr>
            </w:pPr>
            <w:r>
              <w:rPr>
                <w:rFonts w:eastAsia="黑体"/>
                <w:szCs w:val="21"/>
              </w:rPr>
              <w:t>4</w:t>
            </w:r>
          </w:p>
        </w:tc>
        <w:tc>
          <w:tcPr>
            <w:tcW w:w="1684" w:type="dxa"/>
            <w:vAlign w:val="center"/>
          </w:tcPr>
          <w:p>
            <w:pPr>
              <w:spacing w:line="300" w:lineRule="exact"/>
              <w:jc w:val="center"/>
              <w:rPr>
                <w:rFonts w:eastAsia="黑体"/>
                <w:szCs w:val="21"/>
              </w:rPr>
            </w:pPr>
            <w:r>
              <w:rPr>
                <w:rFonts w:eastAsia="黑体"/>
                <w:szCs w:val="21"/>
              </w:rPr>
              <w:t>智能工厂</w:t>
            </w:r>
          </w:p>
          <w:p>
            <w:pPr>
              <w:spacing w:line="300" w:lineRule="exact"/>
              <w:jc w:val="center"/>
              <w:rPr>
                <w:rFonts w:eastAsia="黑体"/>
                <w:szCs w:val="21"/>
              </w:rPr>
            </w:pPr>
            <w:r>
              <w:rPr>
                <w:rFonts w:eastAsia="黑体"/>
                <w:szCs w:val="21"/>
              </w:rPr>
              <w:t>绿色工厂</w:t>
            </w:r>
          </w:p>
          <w:p>
            <w:pPr>
              <w:spacing w:line="300" w:lineRule="exact"/>
              <w:jc w:val="center"/>
              <w:rPr>
                <w:rFonts w:eastAsia="黑体"/>
                <w:szCs w:val="21"/>
              </w:rPr>
            </w:pPr>
            <w:r>
              <w:rPr>
                <w:rFonts w:eastAsia="黑体"/>
                <w:szCs w:val="21"/>
              </w:rPr>
              <w:t>专精特新企业</w:t>
            </w:r>
          </w:p>
        </w:tc>
        <w:tc>
          <w:tcPr>
            <w:tcW w:w="4394" w:type="dxa"/>
            <w:vAlign w:val="center"/>
          </w:tcPr>
          <w:p>
            <w:pPr>
              <w:spacing w:line="300" w:lineRule="exact"/>
              <w:jc w:val="left"/>
              <w:rPr>
                <w:szCs w:val="21"/>
              </w:rPr>
            </w:pPr>
            <w:r>
              <w:rPr>
                <w:rFonts w:hAnsi="宋体"/>
                <w:szCs w:val="21"/>
              </w:rPr>
              <w:t>国家级</w:t>
            </w:r>
            <w:r>
              <w:rPr>
                <w:szCs w:val="21"/>
              </w:rPr>
              <w:t>5</w:t>
            </w:r>
            <w:r>
              <w:rPr>
                <w:rFonts w:hAnsi="宋体"/>
                <w:szCs w:val="21"/>
              </w:rPr>
              <w:t>分、省级</w:t>
            </w:r>
            <w:r>
              <w:rPr>
                <w:szCs w:val="21"/>
              </w:rPr>
              <w:t>3</w:t>
            </w:r>
            <w:r>
              <w:rPr>
                <w:rFonts w:hAnsi="宋体"/>
                <w:szCs w:val="21"/>
              </w:rPr>
              <w:t>分、市级</w:t>
            </w:r>
            <w:r>
              <w:rPr>
                <w:szCs w:val="21"/>
              </w:rPr>
              <w:t>1</w:t>
            </w:r>
            <w:r>
              <w:rPr>
                <w:rFonts w:hAnsi="宋体"/>
                <w:szCs w:val="21"/>
              </w:rPr>
              <w:t>分</w:t>
            </w:r>
          </w:p>
        </w:tc>
        <w:tc>
          <w:tcPr>
            <w:tcW w:w="1480" w:type="dxa"/>
            <w:vMerge w:val="restart"/>
            <w:vAlign w:val="center"/>
          </w:tcPr>
          <w:p>
            <w:pPr>
              <w:spacing w:line="300" w:lineRule="exact"/>
              <w:jc w:val="center"/>
              <w:rPr>
                <w:szCs w:val="21"/>
              </w:rPr>
            </w:pPr>
            <w:r>
              <w:rPr>
                <w:rFonts w:hAnsi="宋体"/>
                <w:szCs w:val="21"/>
              </w:rPr>
              <w:t>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3" w:hRule="atLeast"/>
          <w:jc w:val="center"/>
        </w:trPr>
        <w:tc>
          <w:tcPr>
            <w:tcW w:w="772" w:type="dxa"/>
            <w:vAlign w:val="center"/>
          </w:tcPr>
          <w:p>
            <w:pPr>
              <w:spacing w:line="300" w:lineRule="exact"/>
              <w:jc w:val="center"/>
              <w:rPr>
                <w:rFonts w:eastAsia="黑体"/>
                <w:szCs w:val="21"/>
              </w:rPr>
            </w:pPr>
            <w:r>
              <w:rPr>
                <w:rFonts w:eastAsia="黑体"/>
                <w:szCs w:val="21"/>
              </w:rPr>
              <w:t>5</w:t>
            </w:r>
          </w:p>
        </w:tc>
        <w:tc>
          <w:tcPr>
            <w:tcW w:w="1684" w:type="dxa"/>
            <w:vAlign w:val="center"/>
          </w:tcPr>
          <w:p>
            <w:pPr>
              <w:spacing w:line="300" w:lineRule="exact"/>
              <w:jc w:val="center"/>
              <w:rPr>
                <w:rFonts w:eastAsia="黑体"/>
                <w:szCs w:val="21"/>
              </w:rPr>
            </w:pPr>
            <w:r>
              <w:rPr>
                <w:rFonts w:eastAsia="黑体"/>
                <w:szCs w:val="21"/>
              </w:rPr>
              <w:t>规上企业</w:t>
            </w:r>
          </w:p>
        </w:tc>
        <w:tc>
          <w:tcPr>
            <w:tcW w:w="4394" w:type="dxa"/>
            <w:vAlign w:val="center"/>
          </w:tcPr>
          <w:p>
            <w:pPr>
              <w:spacing w:line="300" w:lineRule="exact"/>
              <w:jc w:val="left"/>
              <w:rPr>
                <w:szCs w:val="21"/>
              </w:rPr>
            </w:pPr>
            <w:r>
              <w:rPr>
                <w:rFonts w:hAnsi="宋体"/>
                <w:szCs w:val="21"/>
              </w:rPr>
              <w:t>规上企业加</w:t>
            </w:r>
            <w:r>
              <w:rPr>
                <w:szCs w:val="21"/>
              </w:rPr>
              <w:t>3</w:t>
            </w:r>
            <w:r>
              <w:rPr>
                <w:rFonts w:hAnsi="宋体"/>
                <w:szCs w:val="21"/>
              </w:rPr>
              <w:t>分</w:t>
            </w:r>
          </w:p>
        </w:tc>
        <w:tc>
          <w:tcPr>
            <w:tcW w:w="1480" w:type="dxa"/>
            <w:vMerge w:val="continue"/>
            <w:vAlign w:val="center"/>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9" w:hRule="atLeast"/>
          <w:jc w:val="center"/>
        </w:trPr>
        <w:tc>
          <w:tcPr>
            <w:tcW w:w="772" w:type="dxa"/>
            <w:vAlign w:val="center"/>
          </w:tcPr>
          <w:p>
            <w:pPr>
              <w:spacing w:line="300" w:lineRule="exact"/>
              <w:jc w:val="center"/>
              <w:rPr>
                <w:rFonts w:eastAsia="黑体"/>
                <w:szCs w:val="21"/>
              </w:rPr>
            </w:pPr>
            <w:r>
              <w:rPr>
                <w:rFonts w:eastAsia="黑体"/>
                <w:szCs w:val="21"/>
              </w:rPr>
              <w:t>6</w:t>
            </w:r>
          </w:p>
        </w:tc>
        <w:tc>
          <w:tcPr>
            <w:tcW w:w="1684" w:type="dxa"/>
            <w:vAlign w:val="center"/>
          </w:tcPr>
          <w:p>
            <w:pPr>
              <w:spacing w:line="300" w:lineRule="exact"/>
              <w:jc w:val="center"/>
              <w:rPr>
                <w:rFonts w:eastAsia="黑体"/>
                <w:szCs w:val="21"/>
              </w:rPr>
            </w:pPr>
            <w:r>
              <w:rPr>
                <w:rFonts w:eastAsia="黑体"/>
                <w:szCs w:val="21"/>
              </w:rPr>
              <w:t>产业导向</w:t>
            </w:r>
          </w:p>
        </w:tc>
        <w:tc>
          <w:tcPr>
            <w:tcW w:w="4394" w:type="dxa"/>
            <w:vAlign w:val="center"/>
          </w:tcPr>
          <w:p>
            <w:pPr>
              <w:spacing w:line="300" w:lineRule="exact"/>
              <w:jc w:val="left"/>
              <w:rPr>
                <w:szCs w:val="21"/>
              </w:rPr>
            </w:pPr>
            <w:r>
              <w:rPr>
                <w:rFonts w:hAnsi="宋体"/>
                <w:szCs w:val="21"/>
              </w:rPr>
              <w:t>列入战新产业目录的企业的加</w:t>
            </w:r>
            <w:r>
              <w:rPr>
                <w:szCs w:val="21"/>
              </w:rPr>
              <w:t>3</w:t>
            </w:r>
            <w:r>
              <w:rPr>
                <w:rFonts w:hAnsi="宋体"/>
                <w:szCs w:val="21"/>
              </w:rPr>
              <w:t>分</w:t>
            </w:r>
          </w:p>
        </w:tc>
        <w:tc>
          <w:tcPr>
            <w:tcW w:w="1480" w:type="dxa"/>
            <w:vAlign w:val="center"/>
          </w:tcPr>
          <w:p>
            <w:pPr>
              <w:spacing w:line="300" w:lineRule="exact"/>
              <w:jc w:val="center"/>
              <w:rPr>
                <w:szCs w:val="21"/>
              </w:rPr>
            </w:pPr>
            <w:r>
              <w:rPr>
                <w:rFonts w:hAnsi="宋体"/>
                <w:szCs w:val="21"/>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9" w:hRule="atLeast"/>
          <w:jc w:val="center"/>
        </w:trPr>
        <w:tc>
          <w:tcPr>
            <w:tcW w:w="772" w:type="dxa"/>
            <w:vAlign w:val="center"/>
          </w:tcPr>
          <w:p>
            <w:pPr>
              <w:spacing w:line="300" w:lineRule="exact"/>
              <w:jc w:val="center"/>
              <w:rPr>
                <w:rFonts w:eastAsia="黑体"/>
                <w:szCs w:val="21"/>
              </w:rPr>
            </w:pPr>
            <w:r>
              <w:rPr>
                <w:rFonts w:eastAsia="黑体"/>
                <w:szCs w:val="21"/>
              </w:rPr>
              <w:t>7</w:t>
            </w:r>
          </w:p>
        </w:tc>
        <w:tc>
          <w:tcPr>
            <w:tcW w:w="1684" w:type="dxa"/>
            <w:vAlign w:val="center"/>
          </w:tcPr>
          <w:p>
            <w:pPr>
              <w:spacing w:line="300" w:lineRule="exact"/>
              <w:jc w:val="center"/>
              <w:rPr>
                <w:rFonts w:eastAsia="黑体"/>
                <w:szCs w:val="21"/>
              </w:rPr>
            </w:pPr>
            <w:r>
              <w:rPr>
                <w:rFonts w:eastAsia="黑体"/>
                <w:szCs w:val="21"/>
              </w:rPr>
              <w:t>研发机构</w:t>
            </w:r>
          </w:p>
        </w:tc>
        <w:tc>
          <w:tcPr>
            <w:tcW w:w="4394" w:type="dxa"/>
            <w:vAlign w:val="center"/>
          </w:tcPr>
          <w:p>
            <w:pPr>
              <w:spacing w:line="300" w:lineRule="exact"/>
              <w:jc w:val="left"/>
              <w:rPr>
                <w:szCs w:val="21"/>
              </w:rPr>
            </w:pPr>
            <w:r>
              <w:rPr>
                <w:rFonts w:hAnsi="宋体"/>
                <w:szCs w:val="21"/>
              </w:rPr>
              <w:t>国家级</w:t>
            </w:r>
            <w:r>
              <w:rPr>
                <w:szCs w:val="21"/>
              </w:rPr>
              <w:t>5</w:t>
            </w:r>
            <w:r>
              <w:rPr>
                <w:rFonts w:hAnsi="宋体"/>
                <w:szCs w:val="21"/>
              </w:rPr>
              <w:t>分、省级</w:t>
            </w:r>
            <w:r>
              <w:rPr>
                <w:szCs w:val="21"/>
              </w:rPr>
              <w:t>3</w:t>
            </w:r>
            <w:r>
              <w:rPr>
                <w:rFonts w:hAnsi="宋体"/>
                <w:szCs w:val="21"/>
              </w:rPr>
              <w:t>分、市级</w:t>
            </w:r>
            <w:r>
              <w:rPr>
                <w:szCs w:val="21"/>
              </w:rPr>
              <w:t>1</w:t>
            </w:r>
            <w:r>
              <w:rPr>
                <w:rFonts w:hAnsi="宋体"/>
                <w:szCs w:val="21"/>
              </w:rPr>
              <w:t>分</w:t>
            </w:r>
          </w:p>
        </w:tc>
        <w:tc>
          <w:tcPr>
            <w:tcW w:w="1480" w:type="dxa"/>
            <w:vAlign w:val="center"/>
          </w:tcPr>
          <w:p>
            <w:pPr>
              <w:spacing w:line="300" w:lineRule="exact"/>
              <w:jc w:val="center"/>
              <w:rPr>
                <w:szCs w:val="21"/>
              </w:rPr>
            </w:pPr>
            <w:r>
              <w:rPr>
                <w:rFonts w:hAnsi="宋体"/>
                <w:szCs w:val="21"/>
              </w:rPr>
              <w:t>市发改委</w:t>
            </w:r>
          </w:p>
          <w:p>
            <w:pPr>
              <w:spacing w:line="300" w:lineRule="exact"/>
              <w:jc w:val="center"/>
              <w:rPr>
                <w:szCs w:val="21"/>
              </w:rPr>
            </w:pPr>
            <w:r>
              <w:rPr>
                <w:rFonts w:hAnsi="宋体"/>
                <w:szCs w:val="21"/>
              </w:rPr>
              <w:t>市科技局</w:t>
            </w:r>
          </w:p>
          <w:p>
            <w:pPr>
              <w:spacing w:line="300" w:lineRule="exact"/>
              <w:jc w:val="center"/>
              <w:rPr>
                <w:szCs w:val="21"/>
              </w:rPr>
            </w:pPr>
            <w:r>
              <w:rPr>
                <w:rFonts w:hAnsi="宋体"/>
                <w:szCs w:val="21"/>
              </w:rPr>
              <w:t>市经信局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 w:hRule="atLeast"/>
          <w:jc w:val="center"/>
        </w:trPr>
        <w:tc>
          <w:tcPr>
            <w:tcW w:w="772" w:type="dxa"/>
            <w:vAlign w:val="center"/>
          </w:tcPr>
          <w:p>
            <w:pPr>
              <w:spacing w:line="300" w:lineRule="exact"/>
              <w:jc w:val="center"/>
              <w:rPr>
                <w:rFonts w:eastAsia="黑体"/>
                <w:szCs w:val="21"/>
              </w:rPr>
            </w:pPr>
            <w:r>
              <w:rPr>
                <w:rFonts w:eastAsia="黑体"/>
                <w:szCs w:val="21"/>
              </w:rPr>
              <w:t>8</w:t>
            </w:r>
          </w:p>
        </w:tc>
        <w:tc>
          <w:tcPr>
            <w:tcW w:w="1684" w:type="dxa"/>
            <w:vAlign w:val="center"/>
          </w:tcPr>
          <w:p>
            <w:pPr>
              <w:spacing w:line="300" w:lineRule="exact"/>
              <w:jc w:val="center"/>
              <w:rPr>
                <w:rFonts w:eastAsia="黑体"/>
                <w:szCs w:val="21"/>
              </w:rPr>
            </w:pPr>
            <w:r>
              <w:rPr>
                <w:rFonts w:eastAsia="黑体"/>
                <w:szCs w:val="21"/>
              </w:rPr>
              <w:t>院士工作站</w:t>
            </w:r>
          </w:p>
          <w:p>
            <w:pPr>
              <w:spacing w:line="300" w:lineRule="exact"/>
              <w:jc w:val="center"/>
              <w:rPr>
                <w:rFonts w:eastAsia="黑体"/>
                <w:szCs w:val="21"/>
              </w:rPr>
            </w:pPr>
            <w:r>
              <w:rPr>
                <w:rFonts w:eastAsia="黑体"/>
                <w:szCs w:val="21"/>
              </w:rPr>
              <w:t>博士后工作站</w:t>
            </w:r>
          </w:p>
        </w:tc>
        <w:tc>
          <w:tcPr>
            <w:tcW w:w="4394" w:type="dxa"/>
            <w:vAlign w:val="center"/>
          </w:tcPr>
          <w:p>
            <w:pPr>
              <w:widowControl/>
              <w:spacing w:line="300" w:lineRule="exact"/>
              <w:jc w:val="left"/>
              <w:textAlignment w:val="center"/>
              <w:rPr>
                <w:szCs w:val="21"/>
              </w:rPr>
            </w:pPr>
            <w:r>
              <w:rPr>
                <w:rFonts w:hAnsi="宋体"/>
                <w:szCs w:val="21"/>
              </w:rPr>
              <w:t>院士工作站</w:t>
            </w:r>
            <w:r>
              <w:rPr>
                <w:szCs w:val="21"/>
              </w:rPr>
              <w:t>3</w:t>
            </w:r>
            <w:r>
              <w:rPr>
                <w:rFonts w:hAnsi="宋体"/>
                <w:szCs w:val="21"/>
              </w:rPr>
              <w:t>分，博士后工作站</w:t>
            </w:r>
            <w:r>
              <w:rPr>
                <w:szCs w:val="21"/>
              </w:rPr>
              <w:t>2</w:t>
            </w:r>
            <w:r>
              <w:rPr>
                <w:rFonts w:hAnsi="宋体"/>
                <w:szCs w:val="21"/>
              </w:rPr>
              <w:t>分</w:t>
            </w:r>
          </w:p>
        </w:tc>
        <w:tc>
          <w:tcPr>
            <w:tcW w:w="1480" w:type="dxa"/>
            <w:vAlign w:val="center"/>
          </w:tcPr>
          <w:p>
            <w:pPr>
              <w:spacing w:line="300" w:lineRule="exact"/>
              <w:jc w:val="center"/>
              <w:rPr>
                <w:szCs w:val="21"/>
              </w:rPr>
            </w:pPr>
            <w:r>
              <w:rPr>
                <w:rFonts w:hAnsi="宋体"/>
                <w:szCs w:val="21"/>
              </w:rPr>
              <w:t>市科技局</w:t>
            </w:r>
          </w:p>
          <w:p>
            <w:pPr>
              <w:spacing w:line="300" w:lineRule="exact"/>
              <w:jc w:val="center"/>
              <w:rPr>
                <w:szCs w:val="21"/>
              </w:rPr>
            </w:pPr>
            <w:r>
              <w:rPr>
                <w:rFonts w:hAnsi="宋体"/>
                <w:szCs w:val="21"/>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4" w:hRule="atLeast"/>
          <w:jc w:val="center"/>
        </w:trPr>
        <w:tc>
          <w:tcPr>
            <w:tcW w:w="772" w:type="dxa"/>
            <w:vAlign w:val="center"/>
          </w:tcPr>
          <w:p>
            <w:pPr>
              <w:spacing w:line="300" w:lineRule="exact"/>
              <w:jc w:val="center"/>
              <w:rPr>
                <w:rFonts w:eastAsia="黑体"/>
                <w:szCs w:val="21"/>
              </w:rPr>
            </w:pPr>
            <w:r>
              <w:rPr>
                <w:rFonts w:eastAsia="黑体"/>
                <w:szCs w:val="21"/>
              </w:rPr>
              <w:t>9</w:t>
            </w:r>
          </w:p>
        </w:tc>
        <w:tc>
          <w:tcPr>
            <w:tcW w:w="1684" w:type="dxa"/>
            <w:vAlign w:val="center"/>
          </w:tcPr>
          <w:p>
            <w:pPr>
              <w:spacing w:line="300" w:lineRule="exact"/>
              <w:jc w:val="center"/>
              <w:rPr>
                <w:rFonts w:eastAsia="黑体"/>
                <w:szCs w:val="21"/>
              </w:rPr>
            </w:pPr>
            <w:r>
              <w:rPr>
                <w:rFonts w:eastAsia="黑体"/>
                <w:szCs w:val="21"/>
              </w:rPr>
              <w:t>诚信纳税</w:t>
            </w:r>
          </w:p>
        </w:tc>
        <w:tc>
          <w:tcPr>
            <w:tcW w:w="4394" w:type="dxa"/>
            <w:vAlign w:val="center"/>
          </w:tcPr>
          <w:p>
            <w:pPr>
              <w:spacing w:line="300" w:lineRule="exact"/>
              <w:jc w:val="left"/>
              <w:rPr>
                <w:szCs w:val="21"/>
              </w:rPr>
            </w:pPr>
            <w:r>
              <w:rPr>
                <w:szCs w:val="21"/>
              </w:rPr>
              <w:t>A</w:t>
            </w:r>
            <w:r>
              <w:rPr>
                <w:rFonts w:hAnsi="宋体"/>
                <w:szCs w:val="21"/>
              </w:rPr>
              <w:t>级纳税信用</w:t>
            </w:r>
            <w:r>
              <w:rPr>
                <w:szCs w:val="21"/>
              </w:rPr>
              <w:t>1</w:t>
            </w:r>
            <w:r>
              <w:rPr>
                <w:rFonts w:hAnsi="宋体"/>
                <w:szCs w:val="21"/>
              </w:rPr>
              <w:t>分</w:t>
            </w:r>
          </w:p>
        </w:tc>
        <w:tc>
          <w:tcPr>
            <w:tcW w:w="1480" w:type="dxa"/>
            <w:vAlign w:val="center"/>
          </w:tcPr>
          <w:p>
            <w:pPr>
              <w:spacing w:line="300" w:lineRule="exact"/>
              <w:jc w:val="center"/>
              <w:rPr>
                <w:szCs w:val="21"/>
              </w:rPr>
            </w:pPr>
            <w:r>
              <w:rPr>
                <w:rFonts w:hAnsi="宋体"/>
                <w:szCs w:val="21"/>
              </w:rPr>
              <w:t>市税务局</w:t>
            </w:r>
          </w:p>
        </w:tc>
      </w:tr>
    </w:tbl>
    <w:p>
      <w:pPr>
        <w:spacing w:line="580" w:lineRule="exact"/>
        <w:ind w:firstLine="620" w:firstLineChars="200"/>
        <w:rPr>
          <w:rFonts w:eastAsia="仿宋_GB2312"/>
          <w:sz w:val="31"/>
          <w:szCs w:val="31"/>
        </w:rPr>
      </w:pPr>
      <w:r>
        <w:rPr>
          <w:rFonts w:eastAsia="仿宋_GB2312"/>
          <w:sz w:val="31"/>
          <w:szCs w:val="31"/>
        </w:rPr>
        <w:t>同一类别的加分项按照不重复和就高不就低的原则执行，企业获得的各类荣誉（证书）不在有效期范围内的不加分，各类综合素质附加项认定时间节点为评价年度的12月31日。</w:t>
      </w:r>
    </w:p>
    <w:p>
      <w:pPr>
        <w:spacing w:line="580" w:lineRule="exact"/>
        <w:ind w:firstLine="620" w:firstLineChars="200"/>
        <w:rPr>
          <w:rFonts w:eastAsia="楷体_GB2312"/>
          <w:sz w:val="31"/>
          <w:szCs w:val="31"/>
        </w:rPr>
      </w:pPr>
      <w:r>
        <w:rPr>
          <w:rFonts w:eastAsia="楷体_GB2312"/>
          <w:sz w:val="31"/>
          <w:szCs w:val="31"/>
        </w:rPr>
        <w:t>（四）评价分类</w:t>
      </w:r>
    </w:p>
    <w:p>
      <w:pPr>
        <w:pStyle w:val="7"/>
        <w:spacing w:line="580" w:lineRule="exact"/>
        <w:ind w:firstLine="620" w:firstLineChars="200"/>
        <w:rPr>
          <w:sz w:val="31"/>
          <w:szCs w:val="31"/>
        </w:rPr>
      </w:pPr>
      <w:r>
        <w:rPr>
          <w:sz w:val="31"/>
          <w:szCs w:val="31"/>
        </w:rPr>
        <w:t>根据企业综合评价得分从高到低排列，对一般工业企业和互联网等信息产业企业制定不同的分类方式，分别排序。</w:t>
      </w:r>
    </w:p>
    <w:p>
      <w:pPr>
        <w:spacing w:line="580" w:lineRule="exact"/>
        <w:ind w:firstLine="620" w:firstLineChars="200"/>
        <w:rPr>
          <w:rFonts w:eastAsia="仿宋_GB2312"/>
          <w:sz w:val="31"/>
          <w:szCs w:val="31"/>
        </w:rPr>
      </w:pPr>
      <w:r>
        <w:rPr>
          <w:rFonts w:eastAsia="仿宋_GB2312"/>
          <w:sz w:val="31"/>
          <w:szCs w:val="31"/>
        </w:rPr>
        <w:t>1．一般工业企业</w:t>
      </w:r>
    </w:p>
    <w:p>
      <w:pPr>
        <w:spacing w:line="580" w:lineRule="exact"/>
        <w:ind w:firstLine="620" w:firstLineChars="200"/>
        <w:rPr>
          <w:rFonts w:eastAsia="仿宋_GB2312"/>
          <w:sz w:val="31"/>
          <w:szCs w:val="31"/>
        </w:rPr>
      </w:pPr>
      <w:r>
        <w:rPr>
          <w:rFonts w:eastAsia="仿宋_GB2312"/>
          <w:sz w:val="31"/>
          <w:szCs w:val="31"/>
        </w:rPr>
        <w:t>按一定比例范围分成A、B、C、D四大类，其中：</w:t>
      </w:r>
    </w:p>
    <w:p>
      <w:pPr>
        <w:spacing w:line="580" w:lineRule="exact"/>
        <w:ind w:firstLine="620" w:firstLineChars="200"/>
        <w:rPr>
          <w:rFonts w:eastAsia="仿宋_GB2312"/>
          <w:sz w:val="31"/>
          <w:szCs w:val="31"/>
        </w:rPr>
      </w:pPr>
      <w:r>
        <w:rPr>
          <w:rFonts w:eastAsia="仿宋_GB2312"/>
          <w:sz w:val="31"/>
          <w:szCs w:val="31"/>
        </w:rPr>
        <w:t>A类（优先发展类）：主要是资源环境效益好、发展质量高的企业，综合评价得分排在前20%（含）；</w:t>
      </w:r>
    </w:p>
    <w:p>
      <w:pPr>
        <w:spacing w:line="580" w:lineRule="exact"/>
        <w:ind w:firstLine="620" w:firstLineChars="200"/>
        <w:rPr>
          <w:rFonts w:eastAsia="仿宋_GB2312"/>
          <w:sz w:val="31"/>
          <w:szCs w:val="31"/>
        </w:rPr>
      </w:pPr>
      <w:r>
        <w:rPr>
          <w:rFonts w:eastAsia="仿宋_GB2312"/>
          <w:sz w:val="31"/>
          <w:szCs w:val="31"/>
        </w:rPr>
        <w:t>B类（提升发展类）：主要是资源环境效益相对较好、发展前景看好的企业，综合评价得分排在20%—65%（含）之间；</w:t>
      </w:r>
    </w:p>
    <w:p>
      <w:pPr>
        <w:spacing w:line="580" w:lineRule="exact"/>
        <w:ind w:firstLine="620" w:firstLineChars="200"/>
        <w:rPr>
          <w:rFonts w:eastAsia="仿宋_GB2312"/>
          <w:sz w:val="31"/>
          <w:szCs w:val="31"/>
        </w:rPr>
      </w:pPr>
      <w:r>
        <w:rPr>
          <w:rFonts w:eastAsia="仿宋_GB2312"/>
          <w:sz w:val="31"/>
          <w:szCs w:val="31"/>
        </w:rPr>
        <w:t>C类（调控帮扶类）：主要是资源环境效益一般、发展水平有待提升的企业，综合评价得分排在65%—95%（含）之间；</w:t>
      </w:r>
    </w:p>
    <w:p>
      <w:pPr>
        <w:spacing w:line="580" w:lineRule="exact"/>
        <w:ind w:firstLine="620" w:firstLineChars="200"/>
        <w:rPr>
          <w:rFonts w:eastAsia="仿宋_GB2312"/>
          <w:sz w:val="31"/>
          <w:szCs w:val="31"/>
        </w:rPr>
      </w:pPr>
      <w:r>
        <w:rPr>
          <w:rFonts w:eastAsia="仿宋_GB2312"/>
          <w:sz w:val="31"/>
          <w:szCs w:val="31"/>
        </w:rPr>
        <w:t>D类（倒逼整治类）：主要是综合效益较差、发展水平落后，需重点整治、搬迁改造、淘汰的企业，综合评价得分排在后5%。</w:t>
      </w:r>
    </w:p>
    <w:p>
      <w:pPr>
        <w:spacing w:line="580" w:lineRule="exact"/>
        <w:ind w:firstLine="620" w:firstLineChars="200"/>
        <w:rPr>
          <w:rFonts w:eastAsia="仿宋_GB2312"/>
          <w:sz w:val="31"/>
          <w:szCs w:val="31"/>
        </w:rPr>
      </w:pPr>
      <w:r>
        <w:rPr>
          <w:rFonts w:eastAsia="仿宋_GB2312"/>
          <w:sz w:val="31"/>
          <w:szCs w:val="31"/>
        </w:rPr>
        <w:t>2．互联网等信息产业企业</w:t>
      </w:r>
    </w:p>
    <w:p>
      <w:pPr>
        <w:spacing w:line="580" w:lineRule="exact"/>
        <w:ind w:firstLine="620" w:firstLineChars="200"/>
        <w:rPr>
          <w:rFonts w:eastAsia="仿宋_GB2312"/>
          <w:sz w:val="31"/>
          <w:szCs w:val="31"/>
        </w:rPr>
      </w:pPr>
      <w:r>
        <w:rPr>
          <w:rFonts w:eastAsia="仿宋_GB2312"/>
          <w:sz w:val="31"/>
          <w:szCs w:val="31"/>
        </w:rPr>
        <w:t>按一定比例范围分成A、B两类，其中：</w:t>
      </w:r>
    </w:p>
    <w:p>
      <w:pPr>
        <w:spacing w:line="580" w:lineRule="exact"/>
        <w:ind w:firstLine="620" w:firstLineChars="200"/>
        <w:rPr>
          <w:rFonts w:eastAsia="仿宋_GB2312"/>
          <w:sz w:val="31"/>
          <w:szCs w:val="31"/>
        </w:rPr>
      </w:pPr>
      <w:r>
        <w:rPr>
          <w:rFonts w:eastAsia="仿宋_GB2312"/>
          <w:sz w:val="31"/>
          <w:szCs w:val="31"/>
        </w:rPr>
        <w:t>A类（优先发展类）：主要是资源环境效益好、发展质量高的企业，综合评价得分排在前30%（含）；</w:t>
      </w:r>
    </w:p>
    <w:p>
      <w:pPr>
        <w:spacing w:line="580" w:lineRule="exact"/>
        <w:ind w:firstLine="620" w:firstLineChars="200"/>
        <w:rPr>
          <w:rFonts w:eastAsia="仿宋_GB2312"/>
          <w:sz w:val="31"/>
          <w:szCs w:val="31"/>
        </w:rPr>
      </w:pPr>
      <w:r>
        <w:rPr>
          <w:rFonts w:eastAsia="仿宋_GB2312"/>
          <w:sz w:val="31"/>
          <w:szCs w:val="31"/>
        </w:rPr>
        <w:t>B类（提升发展类）：主要是资源环境效益相对较好、发展前景看好的企业，综合评价得分排在后70%；</w:t>
      </w:r>
    </w:p>
    <w:p>
      <w:pPr>
        <w:spacing w:line="580" w:lineRule="exact"/>
        <w:ind w:firstLine="596" w:firstLineChars="200"/>
        <w:rPr>
          <w:rFonts w:eastAsia="仿宋_GB2312"/>
          <w:sz w:val="31"/>
          <w:szCs w:val="31"/>
        </w:rPr>
      </w:pPr>
      <w:r>
        <w:rPr>
          <w:rFonts w:eastAsia="仿宋_GB2312"/>
          <w:spacing w:val="-6"/>
          <w:sz w:val="31"/>
          <w:szCs w:val="31"/>
        </w:rPr>
        <w:t>根据全市经济发展实际需要可对评价分类比例进行动态调</w:t>
      </w:r>
      <w:r>
        <w:rPr>
          <w:rFonts w:eastAsia="仿宋_GB2312"/>
          <w:sz w:val="31"/>
          <w:szCs w:val="31"/>
        </w:rPr>
        <w:t>整。</w:t>
      </w:r>
    </w:p>
    <w:p>
      <w:pPr>
        <w:spacing w:line="580" w:lineRule="exact"/>
        <w:ind w:firstLine="620" w:firstLineChars="200"/>
        <w:rPr>
          <w:rFonts w:eastAsia="楷体_GB2312"/>
          <w:sz w:val="31"/>
          <w:szCs w:val="31"/>
        </w:rPr>
      </w:pPr>
      <w:r>
        <w:rPr>
          <w:rFonts w:eastAsia="楷体_GB2312"/>
          <w:sz w:val="31"/>
          <w:szCs w:val="31"/>
        </w:rPr>
        <w:t>（五）定档调档</w:t>
      </w:r>
    </w:p>
    <w:p>
      <w:pPr>
        <w:spacing w:line="580" w:lineRule="exact"/>
        <w:ind w:firstLine="620" w:firstLineChars="200"/>
        <w:rPr>
          <w:rFonts w:eastAsia="仿宋_GB2312"/>
          <w:sz w:val="31"/>
          <w:szCs w:val="31"/>
        </w:rPr>
      </w:pPr>
      <w:r>
        <w:rPr>
          <w:rFonts w:eastAsia="仿宋_GB2312"/>
          <w:sz w:val="31"/>
          <w:szCs w:val="31"/>
        </w:rPr>
        <w:t>1．主板上市企业、评价年度营业收入超过50亿元或实缴税金1000万元及以上的企业直接定为A类；</w:t>
      </w:r>
    </w:p>
    <w:p>
      <w:pPr>
        <w:spacing w:line="580" w:lineRule="exact"/>
        <w:ind w:firstLine="620" w:firstLineChars="200"/>
        <w:rPr>
          <w:rFonts w:eastAsia="仿宋_GB2312"/>
          <w:sz w:val="31"/>
          <w:szCs w:val="31"/>
        </w:rPr>
      </w:pPr>
      <w:r>
        <w:rPr>
          <w:rFonts w:eastAsia="仿宋_GB2312"/>
          <w:sz w:val="31"/>
          <w:szCs w:val="31"/>
        </w:rPr>
        <w:t>2．全国互联网百强企业，原则上直接定为A类；</w:t>
      </w:r>
    </w:p>
    <w:p>
      <w:pPr>
        <w:spacing w:line="580" w:lineRule="exact"/>
        <w:ind w:firstLine="620" w:firstLineChars="200"/>
        <w:rPr>
          <w:rFonts w:eastAsia="仿宋_GB2312"/>
          <w:sz w:val="31"/>
          <w:szCs w:val="31"/>
        </w:rPr>
      </w:pPr>
      <w:r>
        <w:rPr>
          <w:rFonts w:eastAsia="仿宋_GB2312"/>
          <w:sz w:val="31"/>
          <w:szCs w:val="31"/>
        </w:rPr>
        <w:t>3．在土地利用等方面存在严重违法违规行为被查处或重大过错责任的企业，原则上直接定为D类；</w:t>
      </w:r>
    </w:p>
    <w:p>
      <w:pPr>
        <w:spacing w:line="580" w:lineRule="exact"/>
        <w:ind w:firstLine="620" w:firstLineChars="200"/>
        <w:rPr>
          <w:rFonts w:eastAsia="仿宋_GB2312"/>
          <w:sz w:val="31"/>
          <w:szCs w:val="31"/>
        </w:rPr>
      </w:pPr>
      <w:r>
        <w:rPr>
          <w:rFonts w:eastAsia="仿宋_GB2312"/>
          <w:sz w:val="31"/>
          <w:szCs w:val="31"/>
        </w:rPr>
        <w:t>4．对存在严重失信行为的企业以及当年发生较大及以上安全生产事故和较大及以上环保责任事故的企业，不列入Ａ、B类；</w:t>
      </w:r>
    </w:p>
    <w:p>
      <w:pPr>
        <w:spacing w:line="580" w:lineRule="exact"/>
        <w:ind w:firstLine="620" w:firstLineChars="200"/>
        <w:rPr>
          <w:rFonts w:eastAsia="仿宋_GB2312"/>
          <w:sz w:val="31"/>
          <w:szCs w:val="31"/>
        </w:rPr>
      </w:pPr>
      <w:r>
        <w:rPr>
          <w:rFonts w:eastAsia="仿宋_GB2312"/>
          <w:sz w:val="31"/>
          <w:szCs w:val="31"/>
        </w:rPr>
        <w:t>5．对招商引资企业与县区园区签订入园协议的，税收贡献未达到协议约定的，在原有得分评级基础上下调一级；</w:t>
      </w:r>
    </w:p>
    <w:p>
      <w:pPr>
        <w:spacing w:line="580" w:lineRule="exact"/>
        <w:ind w:firstLine="620" w:firstLineChars="200"/>
        <w:rPr>
          <w:rFonts w:eastAsia="仿宋_GB2312"/>
          <w:sz w:val="31"/>
          <w:szCs w:val="31"/>
        </w:rPr>
      </w:pPr>
      <w:r>
        <w:rPr>
          <w:rFonts w:eastAsia="仿宋_GB2312"/>
          <w:sz w:val="31"/>
          <w:szCs w:val="31"/>
        </w:rPr>
        <w:t>6．凡各级政府明确列入限制发展计划的企业，原则上下调一级；</w:t>
      </w:r>
    </w:p>
    <w:p>
      <w:pPr>
        <w:spacing w:line="580" w:lineRule="exact"/>
        <w:ind w:firstLine="620" w:firstLineChars="200"/>
        <w:rPr>
          <w:rFonts w:eastAsia="仿宋_GB2312"/>
          <w:sz w:val="31"/>
          <w:szCs w:val="31"/>
        </w:rPr>
      </w:pPr>
      <w:r>
        <w:rPr>
          <w:rFonts w:eastAsia="仿宋_GB2312"/>
          <w:sz w:val="31"/>
          <w:szCs w:val="31"/>
        </w:rPr>
        <w:t>7．对全市经济社会发展和产业转型升级做出突出贡献的企业，由所在载体单位提出，报领导小组研究同意后，可直接定为A类。</w:t>
      </w:r>
    </w:p>
    <w:p>
      <w:pPr>
        <w:spacing w:line="580" w:lineRule="exact"/>
        <w:ind w:firstLine="620" w:firstLineChars="200"/>
        <w:rPr>
          <w:rFonts w:eastAsia="楷体_GB2312"/>
          <w:sz w:val="31"/>
          <w:szCs w:val="31"/>
        </w:rPr>
      </w:pPr>
      <w:r>
        <w:rPr>
          <w:rFonts w:eastAsia="楷体_GB2312"/>
          <w:sz w:val="31"/>
          <w:szCs w:val="31"/>
        </w:rPr>
        <w:t>（六）公示</w:t>
      </w:r>
    </w:p>
    <w:p>
      <w:pPr>
        <w:adjustRightInd w:val="0"/>
        <w:spacing w:line="580" w:lineRule="exact"/>
        <w:ind w:firstLine="620" w:firstLineChars="200"/>
        <w:rPr>
          <w:rFonts w:eastAsia="仿宋_GB2312"/>
          <w:sz w:val="31"/>
          <w:szCs w:val="31"/>
        </w:rPr>
      </w:pPr>
      <w:r>
        <w:rPr>
          <w:rFonts w:eastAsia="仿宋_GB2312"/>
          <w:sz w:val="31"/>
          <w:szCs w:val="31"/>
        </w:rPr>
        <w:t>领导小组办公室将评价结果上报领导小组研究同意后，及时进行公示。如企业对公示的信息有异议，可在公示期内向所在县区、开发园区提出复议，县区、开发园区初审后，将审核意见报领导小组办公室受理；公示期内企业没有异议，将视同无意见。领导小组办公室将公示无异议的结果上报市委、市政府研究，并将最终评价结果对外公布。</w:t>
      </w:r>
    </w:p>
    <w:p>
      <w:pPr>
        <w:spacing w:line="580" w:lineRule="exact"/>
        <w:ind w:firstLine="620" w:firstLineChars="200"/>
        <w:rPr>
          <w:rFonts w:eastAsia="黑体"/>
          <w:kern w:val="32"/>
          <w:sz w:val="31"/>
          <w:szCs w:val="31"/>
        </w:rPr>
      </w:pPr>
      <w:r>
        <w:rPr>
          <w:rFonts w:eastAsia="黑体"/>
          <w:kern w:val="32"/>
          <w:sz w:val="31"/>
          <w:szCs w:val="31"/>
        </w:rPr>
        <w:t>五、结果应用</w:t>
      </w:r>
    </w:p>
    <w:p>
      <w:pPr>
        <w:spacing w:line="580" w:lineRule="exact"/>
        <w:ind w:firstLine="620" w:firstLineChars="200"/>
        <w:rPr>
          <w:rFonts w:eastAsia="仿宋_GB2312"/>
          <w:sz w:val="31"/>
          <w:szCs w:val="31"/>
        </w:rPr>
      </w:pPr>
      <w:r>
        <w:rPr>
          <w:rFonts w:eastAsia="仿宋_GB2312"/>
          <w:sz w:val="31"/>
          <w:szCs w:val="31"/>
        </w:rPr>
        <w:t>1．省级及以上财政资金申报：同等条件下优先推荐A类企业申报；D类企业不予推荐。</w:t>
      </w:r>
    </w:p>
    <w:p>
      <w:pPr>
        <w:spacing w:line="580" w:lineRule="exact"/>
        <w:ind w:firstLine="620" w:firstLineChars="200"/>
        <w:rPr>
          <w:rFonts w:eastAsia="仿宋_GB2312"/>
          <w:sz w:val="31"/>
          <w:szCs w:val="31"/>
        </w:rPr>
      </w:pPr>
      <w:r>
        <w:rPr>
          <w:rFonts w:eastAsia="仿宋_GB2312"/>
          <w:sz w:val="31"/>
          <w:szCs w:val="31"/>
        </w:rPr>
        <w:t>2．市级扶持产业发展政策资金：同等条件下优先支持A类企业申报各类项目，在经行业主管部门审核基础上，A类企业按100%全额兑现，B类企业按75%兑现，C类企业按50%兑现，D类企业不予支持。对A类企业中资源占用少、贡献比较大、质量比较高的，给予企业经营管理团队一定奖励。</w:t>
      </w:r>
    </w:p>
    <w:p>
      <w:pPr>
        <w:spacing w:line="580" w:lineRule="exact"/>
        <w:ind w:firstLine="620" w:firstLineChars="200"/>
        <w:rPr>
          <w:rFonts w:eastAsia="仿宋_GB2312"/>
          <w:sz w:val="31"/>
          <w:szCs w:val="31"/>
        </w:rPr>
      </w:pPr>
      <w:r>
        <w:rPr>
          <w:rFonts w:eastAsia="仿宋_GB2312"/>
          <w:sz w:val="31"/>
          <w:szCs w:val="31"/>
        </w:rPr>
        <w:t>3．能源供给：</w:t>
      </w:r>
      <w:r>
        <w:rPr>
          <w:rFonts w:eastAsia="仿宋_GB2312"/>
          <w:bCs/>
          <w:sz w:val="31"/>
          <w:szCs w:val="31"/>
        </w:rPr>
        <w:t>在水、电、气、煤、蒸汽等能源供应上</w:t>
      </w:r>
      <w:r>
        <w:rPr>
          <w:rFonts w:eastAsia="仿宋_GB2312"/>
          <w:sz w:val="31"/>
          <w:szCs w:val="31"/>
        </w:rPr>
        <w:t>优先保障A类企业用能需求和新增用能指标；对B类企业给予适度支持，可新增用能指标；C、D类企业作为限供对象，D类企业纳入首轮限供对象，不得增加用能指标。</w:t>
      </w:r>
    </w:p>
    <w:p>
      <w:pPr>
        <w:spacing w:line="580" w:lineRule="exact"/>
        <w:ind w:firstLine="620" w:firstLineChars="200"/>
        <w:rPr>
          <w:rFonts w:eastAsia="仿宋_GB2312"/>
          <w:sz w:val="31"/>
          <w:szCs w:val="31"/>
        </w:rPr>
      </w:pPr>
      <w:r>
        <w:rPr>
          <w:rFonts w:eastAsia="仿宋_GB2312"/>
          <w:sz w:val="31"/>
          <w:szCs w:val="31"/>
        </w:rPr>
        <w:t>4．土地供给：优先保障A类企业用地指标；对B类企业给予适当用地支持，鼓励企业进行土地“二次开发”，充分利用现有土地、厂房、设备资源实施“零增地”技改；对C类企业，除转型升级项目外，原则上不再提供新增建设用地；对D类企业，除新上属于国家《产业结构调整目录》鼓励类项目外，不再新增供地。</w:t>
      </w:r>
    </w:p>
    <w:p>
      <w:pPr>
        <w:spacing w:line="580" w:lineRule="exact"/>
        <w:ind w:firstLine="620" w:firstLineChars="200"/>
        <w:rPr>
          <w:rFonts w:eastAsia="仿宋_GB2312"/>
          <w:bCs/>
          <w:sz w:val="31"/>
          <w:szCs w:val="31"/>
        </w:rPr>
      </w:pPr>
      <w:r>
        <w:rPr>
          <w:rFonts w:eastAsia="仿宋_GB2312"/>
          <w:sz w:val="31"/>
          <w:szCs w:val="31"/>
        </w:rPr>
        <w:t>5．</w:t>
      </w:r>
      <w:r>
        <w:rPr>
          <w:rFonts w:eastAsia="仿宋_GB2312"/>
          <w:bCs/>
          <w:sz w:val="31"/>
          <w:szCs w:val="31"/>
        </w:rPr>
        <w:t>金融服务：鼓励政策性融资担保公司同等条件下优先支持A类企业，对A类企业的综合担保费率不得高于1%。</w:t>
      </w:r>
    </w:p>
    <w:p>
      <w:pPr>
        <w:spacing w:line="580" w:lineRule="exact"/>
        <w:ind w:firstLine="620" w:firstLineChars="200"/>
        <w:rPr>
          <w:rFonts w:eastAsia="仿宋_GB2312"/>
          <w:bCs/>
          <w:sz w:val="31"/>
          <w:szCs w:val="31"/>
        </w:rPr>
      </w:pPr>
      <w:r>
        <w:rPr>
          <w:rFonts w:eastAsia="仿宋_GB2312"/>
          <w:bCs/>
          <w:sz w:val="31"/>
          <w:szCs w:val="31"/>
        </w:rPr>
        <w:t>6．项目建设：</w:t>
      </w:r>
      <w:r>
        <w:rPr>
          <w:rFonts w:eastAsia="仿宋_GB2312"/>
          <w:sz w:val="31"/>
          <w:szCs w:val="31"/>
        </w:rPr>
        <w:t>D类企业不予核准和审批与原产能相同（近）的新投资项目。</w:t>
      </w:r>
    </w:p>
    <w:p>
      <w:pPr>
        <w:spacing w:line="580" w:lineRule="exact"/>
        <w:ind w:firstLine="620" w:firstLineChars="200"/>
        <w:rPr>
          <w:rFonts w:eastAsia="仿宋_GB2312"/>
          <w:sz w:val="31"/>
          <w:szCs w:val="31"/>
        </w:rPr>
      </w:pPr>
      <w:r>
        <w:rPr>
          <w:rFonts w:eastAsia="仿宋_GB2312"/>
          <w:sz w:val="31"/>
          <w:szCs w:val="31"/>
        </w:rPr>
        <w:t>7．政府采购：在符合法律法规有关规定的情况下，同等条件下优先采购A类企业的产品。</w:t>
      </w:r>
    </w:p>
    <w:p>
      <w:pPr>
        <w:spacing w:line="580" w:lineRule="exact"/>
        <w:ind w:firstLine="620" w:firstLineChars="200"/>
        <w:rPr>
          <w:rFonts w:eastAsia="仿宋_GB2312"/>
          <w:sz w:val="31"/>
          <w:szCs w:val="31"/>
        </w:rPr>
      </w:pPr>
      <w:r>
        <w:rPr>
          <w:rFonts w:eastAsia="仿宋_GB2312"/>
          <w:sz w:val="31"/>
          <w:szCs w:val="31"/>
        </w:rPr>
        <w:t>8．评先评优：A类企业的企业家，在同等条件下，优先推荐</w:t>
      </w:r>
      <w:r>
        <w:rPr>
          <w:rFonts w:hint="eastAsia" w:eastAsia="仿宋_GB2312"/>
          <w:sz w:val="31"/>
          <w:szCs w:val="31"/>
        </w:rPr>
        <w:t>或提名</w:t>
      </w:r>
      <w:r>
        <w:rPr>
          <w:rFonts w:eastAsia="仿宋_GB2312"/>
          <w:sz w:val="31"/>
          <w:szCs w:val="31"/>
        </w:rPr>
        <w:t>作为各级“两代表一委员”人选，参加各类评先评优。</w:t>
      </w:r>
    </w:p>
    <w:p>
      <w:pPr>
        <w:spacing w:line="580" w:lineRule="exact"/>
        <w:ind w:firstLine="620" w:firstLineChars="200"/>
        <w:rPr>
          <w:rFonts w:eastAsia="仿宋_GB2312"/>
          <w:sz w:val="31"/>
          <w:szCs w:val="31"/>
        </w:rPr>
      </w:pPr>
      <w:r>
        <w:rPr>
          <w:rFonts w:eastAsia="仿宋_GB2312"/>
          <w:sz w:val="31"/>
          <w:szCs w:val="31"/>
        </w:rPr>
        <w:t>9．重大活动：市委、市政府召开全市性重要会议或重大活动中，优先邀请A类企业经营管理者参与。</w:t>
      </w:r>
    </w:p>
    <w:p>
      <w:pPr>
        <w:spacing w:line="580" w:lineRule="exact"/>
        <w:ind w:firstLine="620" w:firstLineChars="200"/>
        <w:rPr>
          <w:rFonts w:eastAsia="黑体"/>
          <w:sz w:val="31"/>
          <w:szCs w:val="31"/>
        </w:rPr>
      </w:pPr>
      <w:r>
        <w:rPr>
          <w:rFonts w:eastAsia="黑体"/>
          <w:kern w:val="32"/>
          <w:sz w:val="31"/>
          <w:szCs w:val="31"/>
        </w:rPr>
        <w:t>六、</w:t>
      </w:r>
      <w:r>
        <w:rPr>
          <w:rFonts w:eastAsia="黑体"/>
          <w:sz w:val="31"/>
          <w:szCs w:val="31"/>
        </w:rPr>
        <w:t>其他</w:t>
      </w:r>
    </w:p>
    <w:p>
      <w:pPr>
        <w:widowControl/>
        <w:spacing w:line="580" w:lineRule="exact"/>
        <w:ind w:firstLine="608" w:firstLineChars="196"/>
        <w:rPr>
          <w:rFonts w:eastAsia="楷体_GB2312"/>
          <w:sz w:val="31"/>
          <w:szCs w:val="31"/>
        </w:rPr>
      </w:pPr>
      <w:r>
        <w:rPr>
          <w:rFonts w:eastAsia="楷体_GB2312"/>
          <w:sz w:val="31"/>
          <w:szCs w:val="31"/>
        </w:rPr>
        <w:t>（一）企业亩均效益评价工作分阶段实施：</w:t>
      </w:r>
    </w:p>
    <w:p>
      <w:pPr>
        <w:widowControl/>
        <w:spacing w:line="580" w:lineRule="exact"/>
        <w:ind w:firstLine="608" w:firstLineChars="196"/>
        <w:rPr>
          <w:rFonts w:eastAsia="仿宋_GB2312"/>
          <w:sz w:val="31"/>
          <w:szCs w:val="31"/>
        </w:rPr>
      </w:pPr>
      <w:r>
        <w:rPr>
          <w:rFonts w:eastAsia="仿宋_GB2312"/>
          <w:sz w:val="31"/>
          <w:szCs w:val="31"/>
        </w:rPr>
        <w:t>——到2019年6月底，启动并完成全市2000户左右（其中规模以上工业企业1100户左右，规模以下工业企业700户左右，互联网等信息产业企业200户左右）企业亩均效益评价工作；初</w:t>
      </w:r>
      <w:r>
        <w:rPr>
          <w:rFonts w:eastAsia="仿宋_GB2312"/>
          <w:spacing w:val="-6"/>
          <w:sz w:val="31"/>
          <w:szCs w:val="31"/>
        </w:rPr>
        <w:t>步实现基于评价结果的企业精准服务、资源要素配置等差别化政</w:t>
      </w:r>
      <w:r>
        <w:rPr>
          <w:rFonts w:eastAsia="仿宋_GB2312"/>
          <w:sz w:val="31"/>
          <w:szCs w:val="31"/>
        </w:rPr>
        <w:t>策。</w:t>
      </w:r>
    </w:p>
    <w:p>
      <w:pPr>
        <w:pStyle w:val="7"/>
        <w:spacing w:line="580" w:lineRule="exact"/>
        <w:ind w:firstLine="620" w:firstLineChars="200"/>
        <w:rPr>
          <w:sz w:val="31"/>
          <w:szCs w:val="31"/>
        </w:rPr>
      </w:pPr>
      <w:r>
        <w:rPr>
          <w:sz w:val="31"/>
          <w:szCs w:val="31"/>
        </w:rPr>
        <w:t>——到2020年底，完成对全市工业企业亩均效益评价全覆盖；基于评价结果的企业精准服务、资源要素配置等差别化政策机制基本完善。</w:t>
      </w:r>
    </w:p>
    <w:p>
      <w:pPr>
        <w:pStyle w:val="7"/>
        <w:spacing w:line="580" w:lineRule="exact"/>
        <w:ind w:firstLine="620" w:firstLineChars="200"/>
        <w:rPr>
          <w:sz w:val="31"/>
          <w:szCs w:val="31"/>
        </w:rPr>
      </w:pPr>
      <w:r>
        <w:rPr>
          <w:sz w:val="31"/>
          <w:szCs w:val="31"/>
        </w:rPr>
        <w:t>（二）成立马鞍山市企业亩均效益评价工作领导小组（成员名单见附件1），统筹协调企业亩均效益评价工作。领导小组办公室设在市经济和信息化局，具体负责企业亩均效益评价工作的日常组织协调、督促检查、考核评价。各县区、开发园区也要建立相应的组织领导机制，形成上下一体的联动推进工作体系。</w:t>
      </w:r>
    </w:p>
    <w:p>
      <w:pPr>
        <w:pStyle w:val="7"/>
        <w:spacing w:line="580" w:lineRule="exact"/>
        <w:ind w:firstLine="620" w:firstLineChars="200"/>
        <w:rPr>
          <w:sz w:val="31"/>
          <w:szCs w:val="31"/>
        </w:rPr>
      </w:pPr>
      <w:r>
        <w:rPr>
          <w:sz w:val="31"/>
          <w:szCs w:val="31"/>
        </w:rPr>
        <w:t>（三）本办法用于对全市工业及互联网等信息产业企业的统一评价，各县区、开发园区参照执行。</w:t>
      </w:r>
    </w:p>
    <w:p>
      <w:pPr>
        <w:pStyle w:val="7"/>
        <w:spacing w:line="580" w:lineRule="exact"/>
        <w:ind w:firstLine="620" w:firstLineChars="200"/>
        <w:rPr>
          <w:sz w:val="31"/>
          <w:szCs w:val="31"/>
        </w:rPr>
      </w:pPr>
      <w:r>
        <w:rPr>
          <w:sz w:val="31"/>
          <w:szCs w:val="31"/>
        </w:rPr>
        <w:t>（四）本办法根据经济发展实际情况适时进行维护。由市企业亩均效益评价工作领导小组办公室负责解释。</w:t>
      </w:r>
    </w:p>
    <w:p>
      <w:pPr>
        <w:pStyle w:val="7"/>
        <w:spacing w:line="580" w:lineRule="exact"/>
        <w:ind w:firstLine="620" w:firstLineChars="200"/>
        <w:rPr>
          <w:sz w:val="31"/>
          <w:szCs w:val="31"/>
        </w:rPr>
      </w:pPr>
    </w:p>
    <w:p>
      <w:pPr>
        <w:pStyle w:val="7"/>
        <w:spacing w:line="580" w:lineRule="exact"/>
        <w:ind w:firstLine="620" w:firstLineChars="200"/>
        <w:rPr>
          <w:sz w:val="31"/>
          <w:szCs w:val="31"/>
        </w:rPr>
      </w:pPr>
      <w:r>
        <w:rPr>
          <w:sz w:val="31"/>
          <w:szCs w:val="31"/>
        </w:rPr>
        <w:t>附件：1．马鞍山市企业亩均效益评价工作领导小组名单</w:t>
      </w:r>
    </w:p>
    <w:p>
      <w:pPr>
        <w:pStyle w:val="7"/>
        <w:spacing w:line="580" w:lineRule="exact"/>
        <w:ind w:firstLine="1550" w:firstLineChars="500"/>
        <w:rPr>
          <w:sz w:val="31"/>
          <w:szCs w:val="31"/>
        </w:rPr>
      </w:pPr>
      <w:r>
        <w:rPr>
          <w:sz w:val="31"/>
          <w:szCs w:val="31"/>
        </w:rPr>
        <w:t>2．领导小组成员单位工作分工</w:t>
      </w:r>
    </w:p>
    <w:p>
      <w:pPr>
        <w:spacing w:line="580" w:lineRule="exact"/>
        <w:jc w:val="left"/>
        <w:outlineLvl w:val="0"/>
        <w:rPr>
          <w:rFonts w:eastAsia="黑体"/>
          <w:sz w:val="31"/>
          <w:szCs w:val="31"/>
        </w:rPr>
      </w:pPr>
      <w:r>
        <w:rPr>
          <w:rFonts w:eastAsia="仿宋_GB2312"/>
          <w:sz w:val="31"/>
          <w:szCs w:val="31"/>
        </w:rPr>
        <w:br w:type="page"/>
      </w:r>
      <w:r>
        <w:rPr>
          <w:rFonts w:eastAsia="黑体"/>
          <w:sz w:val="31"/>
          <w:szCs w:val="31"/>
        </w:rPr>
        <w:t>附件1</w:t>
      </w:r>
    </w:p>
    <w:p>
      <w:pPr>
        <w:spacing w:line="580" w:lineRule="exact"/>
        <w:jc w:val="left"/>
        <w:outlineLvl w:val="0"/>
        <w:rPr>
          <w:rFonts w:eastAsia="楷体_GB2312"/>
          <w:sz w:val="31"/>
          <w:szCs w:val="31"/>
        </w:rPr>
      </w:pPr>
    </w:p>
    <w:p>
      <w:pPr>
        <w:spacing w:line="580" w:lineRule="exact"/>
        <w:jc w:val="center"/>
        <w:rPr>
          <w:rFonts w:eastAsia="方正小标宋简体"/>
          <w:sz w:val="42"/>
          <w:szCs w:val="42"/>
        </w:rPr>
      </w:pPr>
      <w:r>
        <w:rPr>
          <w:rFonts w:eastAsia="方正小标宋简体"/>
          <w:sz w:val="42"/>
          <w:szCs w:val="42"/>
        </w:rPr>
        <w:t>马鞍山市企业亩均效益评价工作</w:t>
      </w:r>
    </w:p>
    <w:p>
      <w:pPr>
        <w:spacing w:line="580" w:lineRule="exact"/>
        <w:jc w:val="center"/>
        <w:rPr>
          <w:rFonts w:eastAsia="方正小标宋简体"/>
          <w:sz w:val="42"/>
          <w:szCs w:val="42"/>
        </w:rPr>
      </w:pPr>
      <w:r>
        <w:rPr>
          <w:rFonts w:eastAsia="方正小标宋简体"/>
          <w:sz w:val="42"/>
          <w:szCs w:val="42"/>
        </w:rPr>
        <w:t>领导小组名单</w:t>
      </w:r>
    </w:p>
    <w:p>
      <w:pPr>
        <w:spacing w:line="580" w:lineRule="exact"/>
        <w:jc w:val="center"/>
        <w:rPr>
          <w:sz w:val="31"/>
          <w:szCs w:val="31"/>
        </w:rPr>
      </w:pPr>
    </w:p>
    <w:p>
      <w:pPr>
        <w:autoSpaceDE w:val="0"/>
        <w:autoSpaceDN w:val="0"/>
        <w:adjustRightInd w:val="0"/>
        <w:spacing w:line="580" w:lineRule="exact"/>
        <w:ind w:firstLine="620" w:firstLineChars="200"/>
        <w:jc w:val="left"/>
        <w:rPr>
          <w:rFonts w:eastAsia="仿宋_GB2312"/>
          <w:kern w:val="0"/>
          <w:sz w:val="31"/>
          <w:szCs w:val="31"/>
        </w:rPr>
      </w:pPr>
      <w:r>
        <w:rPr>
          <w:rFonts w:eastAsia="黑体"/>
          <w:kern w:val="0"/>
          <w:sz w:val="31"/>
          <w:szCs w:val="31"/>
        </w:rPr>
        <w:t>组  长：</w:t>
      </w:r>
      <w:r>
        <w:rPr>
          <w:rFonts w:eastAsia="仿宋_GB2312"/>
          <w:kern w:val="0"/>
          <w:sz w:val="31"/>
          <w:szCs w:val="31"/>
        </w:rPr>
        <w:t>李  强  市政府</w:t>
      </w:r>
    </w:p>
    <w:p>
      <w:pPr>
        <w:autoSpaceDE w:val="0"/>
        <w:autoSpaceDN w:val="0"/>
        <w:adjustRightInd w:val="0"/>
        <w:spacing w:line="580" w:lineRule="exact"/>
        <w:ind w:firstLine="620" w:firstLineChars="200"/>
        <w:jc w:val="left"/>
        <w:rPr>
          <w:rFonts w:eastAsia="仿宋_GB2312"/>
          <w:kern w:val="0"/>
          <w:sz w:val="31"/>
          <w:szCs w:val="31"/>
        </w:rPr>
      </w:pPr>
      <w:r>
        <w:rPr>
          <w:rFonts w:eastAsia="黑体"/>
          <w:kern w:val="0"/>
          <w:sz w:val="31"/>
          <w:szCs w:val="31"/>
        </w:rPr>
        <w:t>副组长：</w:t>
      </w:r>
      <w:r>
        <w:rPr>
          <w:rFonts w:eastAsia="仿宋_GB2312"/>
          <w:kern w:val="0"/>
          <w:sz w:val="31"/>
          <w:szCs w:val="31"/>
        </w:rPr>
        <w:t>潘素萍  市政府</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黄  翔  市经济和信息化局</w:t>
      </w:r>
    </w:p>
    <w:p>
      <w:pPr>
        <w:autoSpaceDE w:val="0"/>
        <w:autoSpaceDN w:val="0"/>
        <w:adjustRightInd w:val="0"/>
        <w:spacing w:line="580" w:lineRule="exact"/>
        <w:ind w:firstLine="620" w:firstLineChars="200"/>
        <w:jc w:val="left"/>
        <w:rPr>
          <w:rFonts w:eastAsia="仿宋_GB2312"/>
          <w:kern w:val="0"/>
          <w:sz w:val="31"/>
          <w:szCs w:val="31"/>
        </w:rPr>
      </w:pPr>
      <w:r>
        <w:rPr>
          <w:rFonts w:eastAsia="黑体"/>
          <w:kern w:val="0"/>
          <w:sz w:val="31"/>
          <w:szCs w:val="31"/>
        </w:rPr>
        <w:t>成  员：</w:t>
      </w:r>
      <w:r>
        <w:rPr>
          <w:rFonts w:eastAsia="仿宋_GB2312"/>
          <w:kern w:val="0"/>
          <w:sz w:val="31"/>
          <w:szCs w:val="31"/>
        </w:rPr>
        <w:t>王  维</w:t>
      </w:r>
      <w:r>
        <w:rPr>
          <w:rFonts w:eastAsia="黑体"/>
          <w:kern w:val="0"/>
          <w:sz w:val="31"/>
          <w:szCs w:val="31"/>
        </w:rPr>
        <w:t xml:space="preserve">  </w:t>
      </w:r>
      <w:r>
        <w:rPr>
          <w:rFonts w:eastAsia="仿宋_GB2312"/>
          <w:kern w:val="0"/>
          <w:sz w:val="31"/>
          <w:szCs w:val="31"/>
        </w:rPr>
        <w:t>市发展和改革委员会</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宋  冰  市科学技术局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赵兴胜  市经济和信息化局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齐道友  市财政局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喻  舜  市人力资源和社会保障局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李忠武  市自然资源和规划局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胡  伟  市生态环境局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周祥林  市应急管理局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程柳木  市市场监督管理局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许宏林  市统计局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杨祖葆  市地方金融监督管理局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江正炜  市投资促进中心</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朱守斌  市税务局</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翟宏伟  含山县政府</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王翰举  和县县政府</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朱凤财  当涂县政府</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张  雷  花山区政府</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冯建敏  雨山区政府</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俞  洋  博望区政府</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陈建生  马鞍山经开区（示范园区）管委会</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张文胜  慈湖高新区管委会</w:t>
      </w:r>
    </w:p>
    <w:p>
      <w:pPr>
        <w:autoSpaceDE w:val="0"/>
        <w:autoSpaceDN w:val="0"/>
        <w:adjustRightInd w:val="0"/>
        <w:spacing w:line="580" w:lineRule="exact"/>
        <w:ind w:firstLine="1860" w:firstLineChars="600"/>
        <w:jc w:val="left"/>
        <w:rPr>
          <w:rFonts w:eastAsia="仿宋_GB2312"/>
          <w:kern w:val="0"/>
          <w:sz w:val="31"/>
          <w:szCs w:val="31"/>
        </w:rPr>
      </w:pPr>
      <w:r>
        <w:rPr>
          <w:rFonts w:eastAsia="仿宋_GB2312"/>
          <w:kern w:val="0"/>
          <w:sz w:val="31"/>
          <w:szCs w:val="31"/>
        </w:rPr>
        <w:t>万晓文  郑蒲港新区管委会</w:t>
      </w:r>
    </w:p>
    <w:p>
      <w:pPr>
        <w:spacing w:line="580" w:lineRule="exact"/>
        <w:ind w:firstLine="620" w:firstLineChars="200"/>
        <w:jc w:val="left"/>
        <w:rPr>
          <w:rFonts w:eastAsia="仿宋_GB2312"/>
          <w:sz w:val="31"/>
          <w:szCs w:val="31"/>
        </w:rPr>
      </w:pPr>
      <w:r>
        <w:rPr>
          <w:rFonts w:eastAsia="仿宋_GB2312"/>
          <w:sz w:val="31"/>
          <w:szCs w:val="31"/>
        </w:rPr>
        <w:t>办公室设在市经济和信息化局，黄翔同志兼任办公室主任，统筹协调企业亩均效益评价工作。</w:t>
      </w:r>
    </w:p>
    <w:p>
      <w:pPr>
        <w:pStyle w:val="2"/>
        <w:spacing w:line="580" w:lineRule="exact"/>
        <w:ind w:left="527" w:hanging="527" w:hangingChars="170"/>
        <w:jc w:val="left"/>
        <w:rPr>
          <w:rFonts w:eastAsia="黑体"/>
          <w:sz w:val="31"/>
          <w:szCs w:val="31"/>
        </w:rPr>
      </w:pPr>
      <w:r>
        <w:rPr>
          <w:rFonts w:eastAsia="仿宋_GB2312"/>
          <w:sz w:val="31"/>
          <w:szCs w:val="31"/>
        </w:rPr>
        <w:br w:type="page"/>
      </w:r>
      <w:r>
        <w:rPr>
          <w:rFonts w:eastAsia="黑体"/>
          <w:sz w:val="31"/>
          <w:szCs w:val="31"/>
        </w:rPr>
        <w:t>附件2</w:t>
      </w:r>
    </w:p>
    <w:p>
      <w:pPr>
        <w:pStyle w:val="2"/>
        <w:spacing w:line="580" w:lineRule="exact"/>
        <w:ind w:left="0" w:firstLine="0"/>
        <w:jc w:val="left"/>
        <w:rPr>
          <w:rFonts w:eastAsia="黑体"/>
          <w:sz w:val="31"/>
          <w:szCs w:val="31"/>
        </w:rPr>
      </w:pPr>
    </w:p>
    <w:p>
      <w:pPr>
        <w:pStyle w:val="2"/>
        <w:spacing w:line="580" w:lineRule="exact"/>
        <w:ind w:left="0" w:firstLine="0"/>
        <w:jc w:val="center"/>
        <w:rPr>
          <w:rFonts w:eastAsia="方正小标宋简体"/>
          <w:sz w:val="42"/>
          <w:szCs w:val="42"/>
        </w:rPr>
      </w:pPr>
      <w:r>
        <w:rPr>
          <w:rFonts w:eastAsia="方正小标宋简体"/>
          <w:sz w:val="42"/>
          <w:szCs w:val="42"/>
        </w:rPr>
        <w:t>领导小组成员单位工作分工</w:t>
      </w:r>
    </w:p>
    <w:p>
      <w:pPr>
        <w:pStyle w:val="2"/>
        <w:spacing w:afterLines="50" w:line="580" w:lineRule="exact"/>
        <w:ind w:left="0" w:firstLine="0"/>
        <w:jc w:val="center"/>
        <w:rPr>
          <w:rFonts w:eastAsia="方正小标宋简体"/>
          <w:sz w:val="31"/>
          <w:szCs w:val="31"/>
        </w:rPr>
      </w:pPr>
    </w:p>
    <w:tbl>
      <w:tblPr>
        <w:tblW w:w="8789"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68"/>
        <w:gridCol w:w="1559"/>
        <w:gridCol w:w="581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jc w:val="center"/>
        </w:trPr>
        <w:tc>
          <w:tcPr>
            <w:tcW w:w="568" w:type="dxa"/>
            <w:vAlign w:val="center"/>
          </w:tcPr>
          <w:p>
            <w:pPr>
              <w:spacing w:line="300" w:lineRule="exact"/>
              <w:jc w:val="center"/>
              <w:rPr>
                <w:rFonts w:eastAsia="黑体"/>
                <w:sz w:val="28"/>
                <w:szCs w:val="28"/>
              </w:rPr>
            </w:pPr>
            <w:r>
              <w:rPr>
                <w:rFonts w:eastAsia="黑体"/>
                <w:sz w:val="28"/>
                <w:szCs w:val="28"/>
              </w:rPr>
              <w:t>序号</w:t>
            </w:r>
          </w:p>
        </w:tc>
        <w:tc>
          <w:tcPr>
            <w:tcW w:w="1559" w:type="dxa"/>
            <w:vAlign w:val="center"/>
          </w:tcPr>
          <w:p>
            <w:pPr>
              <w:spacing w:line="300" w:lineRule="exact"/>
              <w:jc w:val="center"/>
              <w:rPr>
                <w:rFonts w:eastAsia="黑体"/>
                <w:sz w:val="28"/>
                <w:szCs w:val="28"/>
              </w:rPr>
            </w:pPr>
            <w:r>
              <w:rPr>
                <w:rFonts w:eastAsia="黑体"/>
                <w:sz w:val="28"/>
                <w:szCs w:val="28"/>
              </w:rPr>
              <w:t>单  位</w:t>
            </w:r>
          </w:p>
        </w:tc>
        <w:tc>
          <w:tcPr>
            <w:tcW w:w="5811" w:type="dxa"/>
            <w:vAlign w:val="center"/>
          </w:tcPr>
          <w:p>
            <w:pPr>
              <w:spacing w:line="300" w:lineRule="exact"/>
              <w:jc w:val="center"/>
              <w:rPr>
                <w:rFonts w:eastAsia="黑体"/>
                <w:sz w:val="28"/>
                <w:szCs w:val="28"/>
              </w:rPr>
            </w:pPr>
            <w:r>
              <w:rPr>
                <w:rFonts w:eastAsia="黑体"/>
                <w:sz w:val="28"/>
                <w:szCs w:val="28"/>
              </w:rPr>
              <w:t>工作分工</w:t>
            </w:r>
          </w:p>
        </w:tc>
        <w:tc>
          <w:tcPr>
            <w:tcW w:w="851" w:type="dxa"/>
            <w:vAlign w:val="center"/>
          </w:tcPr>
          <w:p>
            <w:pPr>
              <w:spacing w:line="300" w:lineRule="exact"/>
              <w:jc w:val="center"/>
              <w:rPr>
                <w:rFonts w:eastAsia="黑体"/>
                <w:sz w:val="28"/>
                <w:szCs w:val="28"/>
              </w:rPr>
            </w:pPr>
            <w:r>
              <w:rPr>
                <w:rFonts w:eastAsia="黑体"/>
                <w:sz w:val="28"/>
                <w:szCs w:val="28"/>
              </w:rPr>
              <w:t>完成</w:t>
            </w:r>
          </w:p>
          <w:p>
            <w:pPr>
              <w:spacing w:line="300" w:lineRule="exact"/>
              <w:jc w:val="center"/>
              <w:rPr>
                <w:rFonts w:eastAsia="黑体"/>
                <w:sz w:val="28"/>
                <w:szCs w:val="28"/>
              </w:rPr>
            </w:pPr>
            <w:r>
              <w:rPr>
                <w:rFonts w:eastAsia="黑体"/>
                <w:sz w:val="28"/>
                <w:szCs w:val="28"/>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5" w:hRule="atLeast"/>
          <w:jc w:val="center"/>
        </w:trPr>
        <w:tc>
          <w:tcPr>
            <w:tcW w:w="568" w:type="dxa"/>
            <w:vMerge w:val="restart"/>
            <w:vAlign w:val="center"/>
          </w:tcPr>
          <w:p>
            <w:pPr>
              <w:spacing w:line="300" w:lineRule="exact"/>
              <w:jc w:val="center"/>
              <w:rPr>
                <w:rFonts w:ascii="宋体" w:hAnsi="宋体"/>
                <w:szCs w:val="21"/>
              </w:rPr>
            </w:pPr>
            <w:r>
              <w:rPr>
                <w:rFonts w:ascii="宋体" w:hAnsi="宋体"/>
                <w:szCs w:val="21"/>
              </w:rPr>
              <w:t>1</w:t>
            </w:r>
          </w:p>
        </w:tc>
        <w:tc>
          <w:tcPr>
            <w:tcW w:w="1559" w:type="dxa"/>
            <w:vMerge w:val="restart"/>
            <w:vAlign w:val="center"/>
          </w:tcPr>
          <w:p>
            <w:pPr>
              <w:spacing w:line="300" w:lineRule="exact"/>
              <w:jc w:val="center"/>
              <w:rPr>
                <w:rFonts w:ascii="宋体" w:hAnsi="宋体"/>
                <w:szCs w:val="21"/>
              </w:rPr>
            </w:pPr>
            <w:r>
              <w:rPr>
                <w:rFonts w:ascii="宋体" w:hAnsi="宋体"/>
                <w:szCs w:val="21"/>
              </w:rPr>
              <w:t>市经信局</w:t>
            </w:r>
          </w:p>
        </w:tc>
        <w:tc>
          <w:tcPr>
            <w:tcW w:w="5811" w:type="dxa"/>
            <w:vAlign w:val="center"/>
          </w:tcPr>
          <w:p>
            <w:pPr>
              <w:spacing w:line="300" w:lineRule="exact"/>
              <w:rPr>
                <w:rFonts w:ascii="宋体" w:hAnsi="宋体"/>
                <w:szCs w:val="21"/>
              </w:rPr>
            </w:pPr>
            <w:r>
              <w:rPr>
                <w:rFonts w:ascii="宋体" w:hAnsi="宋体"/>
                <w:szCs w:val="21"/>
              </w:rPr>
              <w:t>负责市企业亩均效益评价工作领导小组办公室日常工作，研究制定市企业亩均效益评价办法并发布实施</w:t>
            </w:r>
          </w:p>
        </w:tc>
        <w:tc>
          <w:tcPr>
            <w:tcW w:w="851" w:type="dxa"/>
            <w:vAlign w:val="center"/>
          </w:tcPr>
          <w:p>
            <w:pPr>
              <w:spacing w:line="300" w:lineRule="exact"/>
              <w:jc w:val="center"/>
              <w:rPr>
                <w:rFonts w:ascii="宋体" w:hAnsi="宋体"/>
                <w:szCs w:val="21"/>
              </w:rPr>
            </w:pPr>
            <w:r>
              <w:rPr>
                <w:rFonts w:ascii="宋体" w:hAnsi="宋体"/>
                <w:szCs w:val="21"/>
              </w:rPr>
              <w:t>4月底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0" w:hRule="atLeast"/>
          <w:jc w:val="center"/>
        </w:trPr>
        <w:tc>
          <w:tcPr>
            <w:tcW w:w="568" w:type="dxa"/>
            <w:vMerge w:val="continue"/>
            <w:vAlign w:val="center"/>
          </w:tcPr>
          <w:p>
            <w:pPr>
              <w:spacing w:line="300" w:lineRule="exact"/>
              <w:jc w:val="center"/>
              <w:rPr>
                <w:rFonts w:ascii="宋体" w:hAnsi="宋体"/>
                <w:szCs w:val="21"/>
              </w:rPr>
            </w:pPr>
          </w:p>
        </w:tc>
        <w:tc>
          <w:tcPr>
            <w:tcW w:w="1559" w:type="dxa"/>
            <w:vMerge w:val="continue"/>
            <w:vAlign w:val="center"/>
          </w:tcPr>
          <w:p>
            <w:pPr>
              <w:spacing w:line="300" w:lineRule="exact"/>
              <w:jc w:val="center"/>
              <w:rPr>
                <w:rFonts w:ascii="宋体" w:hAnsi="宋体"/>
                <w:szCs w:val="21"/>
              </w:rPr>
            </w:pPr>
          </w:p>
        </w:tc>
        <w:tc>
          <w:tcPr>
            <w:tcW w:w="5811" w:type="dxa"/>
            <w:vAlign w:val="center"/>
          </w:tcPr>
          <w:p>
            <w:pPr>
              <w:spacing w:line="300" w:lineRule="exact"/>
              <w:rPr>
                <w:rFonts w:ascii="宋体" w:hAnsi="宋体"/>
                <w:szCs w:val="21"/>
              </w:rPr>
            </w:pPr>
            <w:r>
              <w:rPr>
                <w:rFonts w:ascii="宋体" w:hAnsi="宋体"/>
                <w:szCs w:val="21"/>
              </w:rPr>
              <w:t>统筹协调各部门、各县区（开发园区）开展企业亩均效益评价工作</w:t>
            </w:r>
          </w:p>
        </w:tc>
        <w:tc>
          <w:tcPr>
            <w:tcW w:w="851" w:type="dxa"/>
            <w:vAlign w:val="center"/>
          </w:tcPr>
          <w:p>
            <w:pPr>
              <w:spacing w:line="300" w:lineRule="exact"/>
              <w:jc w:val="center"/>
              <w:rPr>
                <w:rFonts w:ascii="宋体" w:hAnsi="宋体"/>
                <w:szCs w:val="21"/>
              </w:rPr>
            </w:pPr>
            <w:r>
              <w:rPr>
                <w:rFonts w:ascii="宋体" w:hAnsi="宋体"/>
                <w:szCs w:val="21"/>
              </w:rPr>
              <w:t>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568" w:type="dxa"/>
            <w:vAlign w:val="center"/>
          </w:tcPr>
          <w:p>
            <w:pPr>
              <w:spacing w:line="300" w:lineRule="exact"/>
              <w:jc w:val="center"/>
              <w:rPr>
                <w:rFonts w:ascii="宋体" w:hAnsi="宋体"/>
                <w:szCs w:val="21"/>
              </w:rPr>
            </w:pPr>
            <w:r>
              <w:rPr>
                <w:rFonts w:ascii="宋体" w:hAnsi="宋体"/>
                <w:szCs w:val="21"/>
              </w:rPr>
              <w:t>2</w:t>
            </w:r>
          </w:p>
        </w:tc>
        <w:tc>
          <w:tcPr>
            <w:tcW w:w="1559" w:type="dxa"/>
            <w:vAlign w:val="center"/>
          </w:tcPr>
          <w:p>
            <w:pPr>
              <w:spacing w:line="300" w:lineRule="exact"/>
              <w:jc w:val="center"/>
              <w:rPr>
                <w:rFonts w:ascii="宋体" w:hAnsi="宋体"/>
                <w:szCs w:val="21"/>
              </w:rPr>
            </w:pPr>
            <w:r>
              <w:rPr>
                <w:rFonts w:ascii="宋体" w:hAnsi="宋体"/>
                <w:szCs w:val="21"/>
              </w:rPr>
              <w:t>市发改委</w:t>
            </w:r>
          </w:p>
        </w:tc>
        <w:tc>
          <w:tcPr>
            <w:tcW w:w="5811" w:type="dxa"/>
            <w:vAlign w:val="center"/>
          </w:tcPr>
          <w:p>
            <w:pPr>
              <w:spacing w:line="300" w:lineRule="exact"/>
              <w:rPr>
                <w:rFonts w:ascii="宋体" w:hAnsi="宋体"/>
                <w:szCs w:val="21"/>
              </w:rPr>
            </w:pPr>
            <w:r>
              <w:rPr>
                <w:rFonts w:ascii="宋体" w:hAnsi="宋体"/>
                <w:szCs w:val="21"/>
              </w:rPr>
              <w:t>牵头研究制定、汇总各有关单位亩均效益评价结果和资源要素配置挂钩的差别化政策</w:t>
            </w:r>
          </w:p>
        </w:tc>
        <w:tc>
          <w:tcPr>
            <w:tcW w:w="851" w:type="dxa"/>
            <w:vAlign w:val="center"/>
          </w:tcPr>
          <w:p>
            <w:pPr>
              <w:spacing w:line="300" w:lineRule="exact"/>
              <w:jc w:val="center"/>
              <w:rPr>
                <w:rFonts w:ascii="宋体" w:hAnsi="宋体"/>
                <w:szCs w:val="21"/>
              </w:rPr>
            </w:pPr>
            <w:r>
              <w:rPr>
                <w:rFonts w:ascii="宋体" w:hAnsi="宋体"/>
                <w:szCs w:val="21"/>
              </w:rPr>
              <w:t>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6" w:hRule="atLeast"/>
          <w:jc w:val="center"/>
        </w:trPr>
        <w:tc>
          <w:tcPr>
            <w:tcW w:w="568" w:type="dxa"/>
            <w:vAlign w:val="center"/>
          </w:tcPr>
          <w:p>
            <w:pPr>
              <w:spacing w:line="300" w:lineRule="exact"/>
              <w:jc w:val="center"/>
              <w:rPr>
                <w:rFonts w:ascii="宋体" w:hAnsi="宋体"/>
                <w:szCs w:val="21"/>
              </w:rPr>
            </w:pPr>
            <w:r>
              <w:rPr>
                <w:rFonts w:ascii="宋体" w:hAnsi="宋体"/>
                <w:szCs w:val="21"/>
              </w:rPr>
              <w:t>3</w:t>
            </w:r>
          </w:p>
        </w:tc>
        <w:tc>
          <w:tcPr>
            <w:tcW w:w="1559" w:type="dxa"/>
            <w:vAlign w:val="center"/>
          </w:tcPr>
          <w:p>
            <w:pPr>
              <w:spacing w:line="300" w:lineRule="exact"/>
              <w:jc w:val="center"/>
              <w:rPr>
                <w:rFonts w:ascii="宋体" w:hAnsi="宋体"/>
                <w:szCs w:val="21"/>
              </w:rPr>
            </w:pPr>
            <w:r>
              <w:rPr>
                <w:rFonts w:ascii="宋体" w:hAnsi="宋体"/>
                <w:szCs w:val="21"/>
              </w:rPr>
              <w:t>市科技局</w:t>
            </w:r>
          </w:p>
        </w:tc>
        <w:tc>
          <w:tcPr>
            <w:tcW w:w="5811" w:type="dxa"/>
            <w:vAlign w:val="center"/>
          </w:tcPr>
          <w:p>
            <w:pPr>
              <w:spacing w:line="300" w:lineRule="exact"/>
              <w:rPr>
                <w:rFonts w:ascii="宋体" w:hAnsi="宋体"/>
                <w:szCs w:val="21"/>
              </w:rPr>
            </w:pPr>
            <w:r>
              <w:rPr>
                <w:rFonts w:ascii="宋体" w:hAnsi="宋体"/>
                <w:szCs w:val="21"/>
              </w:rPr>
              <w:t>会同市发改委、市经信局提供高新技术企业、企业研发机构、院士工作站等名录</w:t>
            </w:r>
          </w:p>
        </w:tc>
        <w:tc>
          <w:tcPr>
            <w:tcW w:w="851" w:type="dxa"/>
            <w:vAlign w:val="center"/>
          </w:tcPr>
          <w:p>
            <w:pPr>
              <w:spacing w:line="300" w:lineRule="exact"/>
              <w:jc w:val="center"/>
              <w:rPr>
                <w:rFonts w:ascii="宋体" w:hAnsi="宋体"/>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568" w:type="dxa"/>
            <w:vAlign w:val="center"/>
          </w:tcPr>
          <w:p>
            <w:pPr>
              <w:spacing w:line="300" w:lineRule="exact"/>
              <w:jc w:val="center"/>
              <w:rPr>
                <w:rFonts w:ascii="宋体" w:hAnsi="宋体"/>
                <w:szCs w:val="21"/>
              </w:rPr>
            </w:pPr>
            <w:r>
              <w:rPr>
                <w:rFonts w:ascii="宋体" w:hAnsi="宋体"/>
                <w:szCs w:val="21"/>
              </w:rPr>
              <w:t>4</w:t>
            </w:r>
          </w:p>
        </w:tc>
        <w:tc>
          <w:tcPr>
            <w:tcW w:w="1559" w:type="dxa"/>
            <w:vAlign w:val="center"/>
          </w:tcPr>
          <w:p>
            <w:pPr>
              <w:spacing w:line="300" w:lineRule="exact"/>
              <w:jc w:val="center"/>
              <w:rPr>
                <w:rFonts w:ascii="宋体" w:hAnsi="宋体"/>
                <w:szCs w:val="21"/>
              </w:rPr>
            </w:pPr>
            <w:r>
              <w:rPr>
                <w:rFonts w:ascii="宋体" w:hAnsi="宋体"/>
                <w:szCs w:val="21"/>
              </w:rPr>
              <w:t>市财政局</w:t>
            </w:r>
          </w:p>
        </w:tc>
        <w:tc>
          <w:tcPr>
            <w:tcW w:w="5811" w:type="dxa"/>
            <w:vAlign w:val="center"/>
          </w:tcPr>
          <w:p>
            <w:pPr>
              <w:pStyle w:val="8"/>
              <w:spacing w:line="300" w:lineRule="exact"/>
              <w:rPr>
                <w:rFonts w:ascii="宋体" w:hAnsi="宋体"/>
                <w:szCs w:val="21"/>
              </w:rPr>
            </w:pPr>
            <w:r>
              <w:rPr>
                <w:rFonts w:ascii="宋体" w:hAnsi="宋体"/>
                <w:szCs w:val="21"/>
              </w:rPr>
              <w:t>针对评价后不同类别的企业，配合各行业主管部门做好相关政策的落实工作</w:t>
            </w:r>
          </w:p>
        </w:tc>
        <w:tc>
          <w:tcPr>
            <w:tcW w:w="851" w:type="dxa"/>
            <w:vAlign w:val="center"/>
          </w:tcPr>
          <w:p>
            <w:pPr>
              <w:pStyle w:val="8"/>
              <w:spacing w:line="300" w:lineRule="exact"/>
              <w:jc w:val="center"/>
              <w:rPr>
                <w:rFonts w:ascii="宋体" w:hAnsi="宋体"/>
                <w:szCs w:val="21"/>
              </w:rPr>
            </w:pPr>
            <w:r>
              <w:rPr>
                <w:rFonts w:ascii="宋体" w:hAnsi="宋体"/>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3" w:hRule="atLeast"/>
          <w:jc w:val="center"/>
        </w:trPr>
        <w:tc>
          <w:tcPr>
            <w:tcW w:w="568" w:type="dxa"/>
            <w:vAlign w:val="center"/>
          </w:tcPr>
          <w:p>
            <w:pPr>
              <w:spacing w:line="300" w:lineRule="exact"/>
              <w:jc w:val="center"/>
              <w:rPr>
                <w:rFonts w:ascii="宋体" w:hAnsi="宋体"/>
                <w:szCs w:val="21"/>
              </w:rPr>
            </w:pPr>
            <w:r>
              <w:rPr>
                <w:rFonts w:ascii="宋体" w:hAnsi="宋体"/>
                <w:szCs w:val="21"/>
              </w:rPr>
              <w:t>5</w:t>
            </w:r>
          </w:p>
        </w:tc>
        <w:tc>
          <w:tcPr>
            <w:tcW w:w="1559" w:type="dxa"/>
            <w:vAlign w:val="center"/>
          </w:tcPr>
          <w:p>
            <w:pPr>
              <w:spacing w:line="300" w:lineRule="exact"/>
              <w:jc w:val="center"/>
              <w:rPr>
                <w:rFonts w:ascii="宋体" w:hAnsi="宋体"/>
                <w:szCs w:val="21"/>
              </w:rPr>
            </w:pPr>
            <w:r>
              <w:rPr>
                <w:rFonts w:ascii="宋体" w:hAnsi="宋体"/>
                <w:szCs w:val="21"/>
              </w:rPr>
              <w:t>市人社局</w:t>
            </w:r>
          </w:p>
        </w:tc>
        <w:tc>
          <w:tcPr>
            <w:tcW w:w="5811" w:type="dxa"/>
            <w:vAlign w:val="center"/>
          </w:tcPr>
          <w:p>
            <w:pPr>
              <w:spacing w:line="300" w:lineRule="exact"/>
              <w:rPr>
                <w:rFonts w:ascii="宋体" w:hAnsi="宋体"/>
                <w:szCs w:val="21"/>
              </w:rPr>
            </w:pPr>
            <w:r>
              <w:rPr>
                <w:rFonts w:ascii="宋体" w:hAnsi="宋体"/>
                <w:szCs w:val="21"/>
              </w:rPr>
              <w:t>提供企业用工、参保信息、博士后工作站名录等数据</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568" w:type="dxa"/>
            <w:vAlign w:val="center"/>
          </w:tcPr>
          <w:p>
            <w:pPr>
              <w:spacing w:line="300" w:lineRule="exact"/>
              <w:jc w:val="center"/>
              <w:rPr>
                <w:rFonts w:ascii="宋体" w:hAnsi="宋体"/>
                <w:szCs w:val="21"/>
              </w:rPr>
            </w:pPr>
            <w:r>
              <w:rPr>
                <w:rFonts w:ascii="宋体" w:hAnsi="宋体"/>
                <w:szCs w:val="21"/>
              </w:rPr>
              <w:t>6</w:t>
            </w:r>
          </w:p>
        </w:tc>
        <w:tc>
          <w:tcPr>
            <w:tcW w:w="1559" w:type="dxa"/>
            <w:vAlign w:val="center"/>
          </w:tcPr>
          <w:p>
            <w:pPr>
              <w:spacing w:line="300" w:lineRule="exact"/>
              <w:jc w:val="center"/>
              <w:rPr>
                <w:rFonts w:ascii="宋体" w:hAnsi="宋体"/>
                <w:szCs w:val="21"/>
              </w:rPr>
            </w:pPr>
            <w:r>
              <w:rPr>
                <w:rFonts w:ascii="宋体" w:hAnsi="宋体"/>
                <w:szCs w:val="21"/>
              </w:rPr>
              <w:t>市生态环境局</w:t>
            </w:r>
          </w:p>
        </w:tc>
        <w:tc>
          <w:tcPr>
            <w:tcW w:w="5811" w:type="dxa"/>
            <w:vAlign w:val="center"/>
          </w:tcPr>
          <w:p>
            <w:pPr>
              <w:spacing w:line="300" w:lineRule="exact"/>
              <w:rPr>
                <w:rFonts w:ascii="宋体" w:hAnsi="宋体"/>
                <w:szCs w:val="21"/>
              </w:rPr>
            </w:pPr>
            <w:r>
              <w:rPr>
                <w:rFonts w:ascii="宋体" w:hAnsi="宋体"/>
                <w:szCs w:val="21"/>
              </w:rPr>
              <w:t>提供企业环保责任事故统计等信息</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568" w:type="dxa"/>
            <w:vAlign w:val="center"/>
          </w:tcPr>
          <w:p>
            <w:pPr>
              <w:spacing w:line="300" w:lineRule="exact"/>
              <w:jc w:val="center"/>
              <w:rPr>
                <w:rFonts w:ascii="宋体" w:hAnsi="宋体"/>
                <w:szCs w:val="21"/>
              </w:rPr>
            </w:pPr>
            <w:r>
              <w:rPr>
                <w:rFonts w:ascii="宋体" w:hAnsi="宋体"/>
                <w:szCs w:val="21"/>
              </w:rPr>
              <w:t>7</w:t>
            </w:r>
          </w:p>
        </w:tc>
        <w:tc>
          <w:tcPr>
            <w:tcW w:w="1559" w:type="dxa"/>
            <w:vAlign w:val="center"/>
          </w:tcPr>
          <w:p>
            <w:pPr>
              <w:spacing w:line="300" w:lineRule="exact"/>
              <w:jc w:val="center"/>
              <w:rPr>
                <w:rFonts w:ascii="宋体" w:hAnsi="宋体"/>
                <w:szCs w:val="21"/>
              </w:rPr>
            </w:pPr>
            <w:r>
              <w:rPr>
                <w:rFonts w:ascii="宋体" w:hAnsi="宋体"/>
                <w:szCs w:val="21"/>
              </w:rPr>
              <w:t>市应急管理局</w:t>
            </w:r>
          </w:p>
        </w:tc>
        <w:tc>
          <w:tcPr>
            <w:tcW w:w="5811" w:type="dxa"/>
            <w:vAlign w:val="center"/>
          </w:tcPr>
          <w:p>
            <w:pPr>
              <w:spacing w:line="300" w:lineRule="exact"/>
              <w:rPr>
                <w:rFonts w:ascii="宋体" w:hAnsi="宋体"/>
                <w:szCs w:val="21"/>
              </w:rPr>
            </w:pPr>
            <w:r>
              <w:rPr>
                <w:rFonts w:ascii="宋体" w:hAnsi="宋体"/>
                <w:szCs w:val="21"/>
              </w:rPr>
              <w:t>提供企业安全生产事故统计等信息</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568" w:type="dxa"/>
            <w:vAlign w:val="center"/>
          </w:tcPr>
          <w:p>
            <w:pPr>
              <w:spacing w:line="300" w:lineRule="exact"/>
              <w:jc w:val="center"/>
              <w:rPr>
                <w:rFonts w:ascii="宋体" w:hAnsi="宋体"/>
                <w:szCs w:val="21"/>
              </w:rPr>
            </w:pPr>
            <w:r>
              <w:rPr>
                <w:rFonts w:ascii="宋体" w:hAnsi="宋体"/>
                <w:szCs w:val="21"/>
              </w:rPr>
              <w:t>8</w:t>
            </w:r>
          </w:p>
        </w:tc>
        <w:tc>
          <w:tcPr>
            <w:tcW w:w="1559" w:type="dxa"/>
            <w:vAlign w:val="center"/>
          </w:tcPr>
          <w:p>
            <w:pPr>
              <w:spacing w:line="300" w:lineRule="exact"/>
              <w:jc w:val="center"/>
              <w:rPr>
                <w:rFonts w:ascii="宋体" w:hAnsi="宋体"/>
                <w:szCs w:val="21"/>
              </w:rPr>
            </w:pPr>
            <w:r>
              <w:rPr>
                <w:rFonts w:ascii="宋体" w:hAnsi="宋体"/>
                <w:szCs w:val="21"/>
              </w:rPr>
              <w:t>市自然资源和规划局</w:t>
            </w:r>
          </w:p>
        </w:tc>
        <w:tc>
          <w:tcPr>
            <w:tcW w:w="5811" w:type="dxa"/>
            <w:vAlign w:val="center"/>
          </w:tcPr>
          <w:p>
            <w:pPr>
              <w:spacing w:line="300" w:lineRule="exact"/>
              <w:rPr>
                <w:rFonts w:ascii="宋体" w:hAnsi="宋体"/>
                <w:szCs w:val="21"/>
              </w:rPr>
            </w:pPr>
            <w:r>
              <w:rPr>
                <w:rFonts w:ascii="宋体" w:hAnsi="宋体"/>
                <w:szCs w:val="21"/>
              </w:rPr>
              <w:t>牵头指导各县区、开发园区提供企业使用（含租赁）土地面积等数据，审核并确认企业用地信息</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568" w:type="dxa"/>
            <w:vAlign w:val="center"/>
          </w:tcPr>
          <w:p>
            <w:pPr>
              <w:spacing w:line="300" w:lineRule="exact"/>
              <w:jc w:val="center"/>
              <w:rPr>
                <w:rFonts w:ascii="宋体" w:hAnsi="宋体"/>
                <w:szCs w:val="21"/>
              </w:rPr>
            </w:pPr>
            <w:r>
              <w:rPr>
                <w:rFonts w:ascii="宋体" w:hAnsi="宋体"/>
                <w:szCs w:val="21"/>
              </w:rPr>
              <w:t>9</w:t>
            </w:r>
          </w:p>
        </w:tc>
        <w:tc>
          <w:tcPr>
            <w:tcW w:w="1559" w:type="dxa"/>
            <w:vAlign w:val="center"/>
          </w:tcPr>
          <w:p>
            <w:pPr>
              <w:spacing w:line="300" w:lineRule="exact"/>
              <w:jc w:val="center"/>
              <w:rPr>
                <w:rFonts w:ascii="宋体" w:hAnsi="宋体"/>
                <w:szCs w:val="21"/>
              </w:rPr>
            </w:pPr>
            <w:r>
              <w:rPr>
                <w:rFonts w:ascii="宋体" w:hAnsi="宋体"/>
                <w:szCs w:val="21"/>
              </w:rPr>
              <w:t>市市场监督管理局</w:t>
            </w:r>
          </w:p>
        </w:tc>
        <w:tc>
          <w:tcPr>
            <w:tcW w:w="5811" w:type="dxa"/>
            <w:vAlign w:val="center"/>
          </w:tcPr>
          <w:p>
            <w:pPr>
              <w:pStyle w:val="8"/>
              <w:spacing w:line="300" w:lineRule="exact"/>
              <w:rPr>
                <w:rFonts w:ascii="宋体" w:hAnsi="宋体"/>
                <w:szCs w:val="21"/>
              </w:rPr>
            </w:pPr>
            <w:r>
              <w:rPr>
                <w:rFonts w:ascii="宋体" w:hAnsi="宋体"/>
                <w:szCs w:val="21"/>
              </w:rPr>
              <w:t>提供企业名称、住所、统一社会信用代码，以及企业参与标准制修订、企业质量方面获奖情况等信息</w:t>
            </w:r>
          </w:p>
        </w:tc>
        <w:tc>
          <w:tcPr>
            <w:tcW w:w="851" w:type="dxa"/>
            <w:vAlign w:val="center"/>
          </w:tcPr>
          <w:p>
            <w:pPr>
              <w:pStyle w:val="8"/>
              <w:spacing w:line="300" w:lineRule="exact"/>
              <w:jc w:val="center"/>
              <w:rPr>
                <w:rFonts w:ascii="宋体" w:hAnsi="宋体"/>
                <w:spacing w:val="-18"/>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3" w:hRule="atLeast"/>
          <w:jc w:val="center"/>
        </w:trPr>
        <w:tc>
          <w:tcPr>
            <w:tcW w:w="568" w:type="dxa"/>
            <w:vAlign w:val="center"/>
          </w:tcPr>
          <w:p>
            <w:pPr>
              <w:spacing w:line="300" w:lineRule="exact"/>
              <w:jc w:val="center"/>
              <w:rPr>
                <w:rFonts w:ascii="宋体" w:hAnsi="宋体"/>
                <w:szCs w:val="21"/>
              </w:rPr>
            </w:pPr>
            <w:r>
              <w:rPr>
                <w:rFonts w:ascii="宋体" w:hAnsi="宋体"/>
                <w:szCs w:val="21"/>
              </w:rPr>
              <w:t>10</w:t>
            </w:r>
          </w:p>
        </w:tc>
        <w:tc>
          <w:tcPr>
            <w:tcW w:w="1559" w:type="dxa"/>
            <w:vAlign w:val="center"/>
          </w:tcPr>
          <w:p>
            <w:pPr>
              <w:spacing w:line="300" w:lineRule="exact"/>
              <w:jc w:val="center"/>
              <w:rPr>
                <w:rFonts w:ascii="宋体" w:hAnsi="宋体"/>
                <w:szCs w:val="21"/>
              </w:rPr>
            </w:pPr>
            <w:r>
              <w:rPr>
                <w:rFonts w:ascii="宋体" w:hAnsi="宋体"/>
                <w:szCs w:val="21"/>
              </w:rPr>
              <w:t>市统计局</w:t>
            </w:r>
          </w:p>
        </w:tc>
        <w:tc>
          <w:tcPr>
            <w:tcW w:w="5811" w:type="dxa"/>
            <w:vAlign w:val="center"/>
          </w:tcPr>
          <w:p>
            <w:pPr>
              <w:spacing w:line="300" w:lineRule="exact"/>
              <w:rPr>
                <w:rFonts w:ascii="宋体" w:hAnsi="宋体"/>
                <w:szCs w:val="21"/>
              </w:rPr>
            </w:pPr>
            <w:r>
              <w:rPr>
                <w:rFonts w:ascii="宋体" w:hAnsi="宋体"/>
                <w:szCs w:val="21"/>
              </w:rPr>
              <w:t>提供全市企业主要经济指标、能耗、行业代码等数据</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3" w:hRule="atLeast"/>
          <w:jc w:val="center"/>
        </w:trPr>
        <w:tc>
          <w:tcPr>
            <w:tcW w:w="568" w:type="dxa"/>
            <w:vAlign w:val="center"/>
          </w:tcPr>
          <w:p>
            <w:pPr>
              <w:spacing w:line="300" w:lineRule="exact"/>
              <w:jc w:val="center"/>
              <w:rPr>
                <w:rFonts w:ascii="宋体" w:hAnsi="宋体"/>
                <w:szCs w:val="21"/>
              </w:rPr>
            </w:pPr>
            <w:r>
              <w:rPr>
                <w:rFonts w:ascii="宋体" w:hAnsi="宋体"/>
                <w:szCs w:val="21"/>
              </w:rPr>
              <w:t>11</w:t>
            </w:r>
          </w:p>
        </w:tc>
        <w:tc>
          <w:tcPr>
            <w:tcW w:w="1559" w:type="dxa"/>
            <w:vAlign w:val="center"/>
          </w:tcPr>
          <w:p>
            <w:pPr>
              <w:spacing w:line="300" w:lineRule="exact"/>
              <w:jc w:val="center"/>
              <w:rPr>
                <w:rFonts w:ascii="宋体" w:hAnsi="宋体"/>
                <w:szCs w:val="21"/>
              </w:rPr>
            </w:pPr>
            <w:r>
              <w:rPr>
                <w:rFonts w:ascii="宋体" w:hAnsi="宋体"/>
                <w:szCs w:val="21"/>
              </w:rPr>
              <w:t>市地方金融</w:t>
            </w:r>
          </w:p>
          <w:p>
            <w:pPr>
              <w:spacing w:line="300" w:lineRule="exact"/>
              <w:jc w:val="center"/>
              <w:rPr>
                <w:rFonts w:ascii="宋体" w:hAnsi="宋体"/>
                <w:szCs w:val="21"/>
              </w:rPr>
            </w:pPr>
            <w:r>
              <w:rPr>
                <w:rFonts w:ascii="宋体" w:hAnsi="宋体"/>
                <w:szCs w:val="21"/>
              </w:rPr>
              <w:t>监督管理局</w:t>
            </w:r>
          </w:p>
        </w:tc>
        <w:tc>
          <w:tcPr>
            <w:tcW w:w="5811" w:type="dxa"/>
            <w:vAlign w:val="center"/>
          </w:tcPr>
          <w:p>
            <w:pPr>
              <w:spacing w:line="300" w:lineRule="exact"/>
              <w:rPr>
                <w:rFonts w:ascii="宋体" w:hAnsi="宋体"/>
                <w:szCs w:val="21"/>
              </w:rPr>
            </w:pPr>
            <w:r>
              <w:rPr>
                <w:rFonts w:ascii="宋体" w:hAnsi="宋体"/>
                <w:szCs w:val="21"/>
              </w:rPr>
              <w:t>提供上市企业名录</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568" w:type="dxa"/>
            <w:vAlign w:val="center"/>
          </w:tcPr>
          <w:p>
            <w:pPr>
              <w:spacing w:line="300" w:lineRule="exact"/>
              <w:jc w:val="center"/>
              <w:rPr>
                <w:rFonts w:ascii="宋体" w:hAnsi="宋体"/>
                <w:szCs w:val="21"/>
              </w:rPr>
            </w:pPr>
            <w:r>
              <w:rPr>
                <w:rFonts w:ascii="宋体" w:hAnsi="宋体"/>
                <w:szCs w:val="21"/>
              </w:rPr>
              <w:t>12</w:t>
            </w:r>
          </w:p>
        </w:tc>
        <w:tc>
          <w:tcPr>
            <w:tcW w:w="1559" w:type="dxa"/>
            <w:vAlign w:val="center"/>
          </w:tcPr>
          <w:p>
            <w:pPr>
              <w:spacing w:line="300" w:lineRule="exact"/>
              <w:jc w:val="center"/>
              <w:rPr>
                <w:rFonts w:ascii="宋体" w:hAnsi="宋体"/>
                <w:spacing w:val="-10"/>
                <w:szCs w:val="21"/>
              </w:rPr>
            </w:pPr>
            <w:r>
              <w:rPr>
                <w:rFonts w:ascii="宋体" w:hAnsi="宋体"/>
                <w:spacing w:val="-10"/>
                <w:szCs w:val="21"/>
              </w:rPr>
              <w:t>市投资促进中心</w:t>
            </w:r>
          </w:p>
        </w:tc>
        <w:tc>
          <w:tcPr>
            <w:tcW w:w="5811" w:type="dxa"/>
            <w:vAlign w:val="center"/>
          </w:tcPr>
          <w:p>
            <w:pPr>
              <w:spacing w:line="300" w:lineRule="exact"/>
              <w:rPr>
                <w:rFonts w:ascii="宋体" w:hAnsi="宋体"/>
                <w:szCs w:val="21"/>
              </w:rPr>
            </w:pPr>
            <w:r>
              <w:rPr>
                <w:rFonts w:ascii="宋体" w:hAnsi="宋体"/>
                <w:szCs w:val="21"/>
              </w:rPr>
              <w:t>认定与县区园区签订入园协议的招商引资企业，协议约定的税收贡献条款完成情况</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3" w:hRule="atLeast"/>
          <w:jc w:val="center"/>
        </w:trPr>
        <w:tc>
          <w:tcPr>
            <w:tcW w:w="568" w:type="dxa"/>
            <w:vAlign w:val="center"/>
          </w:tcPr>
          <w:p>
            <w:pPr>
              <w:spacing w:line="300" w:lineRule="exact"/>
              <w:jc w:val="center"/>
              <w:rPr>
                <w:rFonts w:ascii="宋体" w:hAnsi="宋体"/>
                <w:szCs w:val="21"/>
              </w:rPr>
            </w:pPr>
            <w:r>
              <w:rPr>
                <w:rFonts w:ascii="宋体" w:hAnsi="宋体"/>
                <w:szCs w:val="21"/>
              </w:rPr>
              <w:t>13</w:t>
            </w:r>
          </w:p>
        </w:tc>
        <w:tc>
          <w:tcPr>
            <w:tcW w:w="1559" w:type="dxa"/>
            <w:vAlign w:val="center"/>
          </w:tcPr>
          <w:p>
            <w:pPr>
              <w:spacing w:line="300" w:lineRule="exact"/>
              <w:jc w:val="center"/>
              <w:rPr>
                <w:rFonts w:ascii="宋体" w:hAnsi="宋体"/>
                <w:szCs w:val="21"/>
              </w:rPr>
            </w:pPr>
            <w:r>
              <w:rPr>
                <w:rFonts w:ascii="宋体" w:hAnsi="宋体"/>
                <w:szCs w:val="21"/>
              </w:rPr>
              <w:t>市税务局</w:t>
            </w:r>
          </w:p>
        </w:tc>
        <w:tc>
          <w:tcPr>
            <w:tcW w:w="5811" w:type="dxa"/>
            <w:vAlign w:val="center"/>
          </w:tcPr>
          <w:p>
            <w:pPr>
              <w:spacing w:line="300" w:lineRule="exact"/>
              <w:rPr>
                <w:rFonts w:ascii="宋体" w:hAnsi="宋体"/>
                <w:szCs w:val="21"/>
              </w:rPr>
            </w:pPr>
            <w:r>
              <w:rPr>
                <w:rFonts w:ascii="宋体" w:hAnsi="宋体"/>
                <w:szCs w:val="21"/>
              </w:rPr>
              <w:t>提供企业近两年入库税收、营业收入等数据</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6" w:hRule="atLeast"/>
          <w:jc w:val="center"/>
        </w:trPr>
        <w:tc>
          <w:tcPr>
            <w:tcW w:w="568" w:type="dxa"/>
            <w:vMerge w:val="restart"/>
            <w:vAlign w:val="center"/>
          </w:tcPr>
          <w:p>
            <w:pPr>
              <w:spacing w:line="300" w:lineRule="exact"/>
              <w:jc w:val="center"/>
              <w:rPr>
                <w:rFonts w:ascii="宋体" w:hAnsi="宋体"/>
                <w:szCs w:val="21"/>
              </w:rPr>
            </w:pPr>
            <w:r>
              <w:rPr>
                <w:rFonts w:ascii="宋体" w:hAnsi="宋体"/>
                <w:szCs w:val="21"/>
              </w:rPr>
              <w:t>14</w:t>
            </w:r>
          </w:p>
        </w:tc>
        <w:tc>
          <w:tcPr>
            <w:tcW w:w="1559" w:type="dxa"/>
            <w:vMerge w:val="restart"/>
            <w:vAlign w:val="center"/>
          </w:tcPr>
          <w:p>
            <w:pPr>
              <w:spacing w:line="300" w:lineRule="exact"/>
              <w:jc w:val="center"/>
              <w:rPr>
                <w:rFonts w:ascii="宋体" w:hAnsi="宋体"/>
                <w:szCs w:val="21"/>
              </w:rPr>
            </w:pPr>
            <w:r>
              <w:rPr>
                <w:rFonts w:ascii="宋体" w:hAnsi="宋体"/>
                <w:szCs w:val="21"/>
              </w:rPr>
              <w:t>各县区</w:t>
            </w:r>
          </w:p>
          <w:p>
            <w:pPr>
              <w:spacing w:line="300" w:lineRule="exact"/>
              <w:jc w:val="center"/>
              <w:rPr>
                <w:rFonts w:ascii="宋体" w:hAnsi="宋体"/>
                <w:szCs w:val="21"/>
              </w:rPr>
            </w:pPr>
            <w:r>
              <w:rPr>
                <w:rFonts w:ascii="宋体" w:hAnsi="宋体"/>
                <w:szCs w:val="21"/>
              </w:rPr>
              <w:t>开发园区</w:t>
            </w:r>
          </w:p>
        </w:tc>
        <w:tc>
          <w:tcPr>
            <w:tcW w:w="5811" w:type="dxa"/>
            <w:vAlign w:val="center"/>
          </w:tcPr>
          <w:p>
            <w:pPr>
              <w:spacing w:line="300" w:lineRule="exact"/>
              <w:rPr>
                <w:rFonts w:ascii="宋体" w:hAnsi="宋体"/>
                <w:szCs w:val="21"/>
              </w:rPr>
            </w:pPr>
            <w:r>
              <w:rPr>
                <w:rFonts w:ascii="宋体" w:hAnsi="宋体"/>
                <w:szCs w:val="21"/>
              </w:rPr>
              <w:t>提供本辖区企业实际使用（含租赁）土地面积报市自然资源和规划局审核；提供本辖区签订入园协议的招商引资企业，协议约定的税收贡献条款完成情况报市投资促进中心审核；</w:t>
            </w:r>
          </w:p>
        </w:tc>
        <w:tc>
          <w:tcPr>
            <w:tcW w:w="851" w:type="dxa"/>
            <w:vAlign w:val="center"/>
          </w:tcPr>
          <w:p>
            <w:pPr>
              <w:spacing w:line="300" w:lineRule="exact"/>
              <w:jc w:val="center"/>
              <w:rPr>
                <w:rFonts w:ascii="宋体" w:hAnsi="宋体"/>
                <w:spacing w:val="-18"/>
                <w:szCs w:val="21"/>
              </w:rPr>
            </w:pPr>
            <w:r>
              <w:rPr>
                <w:rFonts w:ascii="宋体" w:hAnsi="宋体"/>
                <w:spacing w:val="-18"/>
                <w:szCs w:val="21"/>
              </w:rPr>
              <w:t>5月中旬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8" w:hRule="atLeast"/>
          <w:jc w:val="center"/>
        </w:trPr>
        <w:tc>
          <w:tcPr>
            <w:tcW w:w="568" w:type="dxa"/>
            <w:vMerge w:val="continue"/>
            <w:vAlign w:val="center"/>
          </w:tcPr>
          <w:p>
            <w:pPr>
              <w:spacing w:line="300" w:lineRule="exact"/>
              <w:jc w:val="center"/>
              <w:rPr>
                <w:rFonts w:ascii="宋体" w:hAnsi="宋体"/>
                <w:szCs w:val="21"/>
              </w:rPr>
            </w:pPr>
          </w:p>
        </w:tc>
        <w:tc>
          <w:tcPr>
            <w:tcW w:w="1559" w:type="dxa"/>
            <w:vMerge w:val="continue"/>
            <w:vAlign w:val="center"/>
          </w:tcPr>
          <w:p>
            <w:pPr>
              <w:spacing w:line="300" w:lineRule="exact"/>
              <w:jc w:val="center"/>
              <w:rPr>
                <w:rFonts w:ascii="宋体" w:hAnsi="宋体"/>
                <w:szCs w:val="21"/>
              </w:rPr>
            </w:pPr>
          </w:p>
        </w:tc>
        <w:tc>
          <w:tcPr>
            <w:tcW w:w="5811" w:type="dxa"/>
            <w:vAlign w:val="center"/>
          </w:tcPr>
          <w:p>
            <w:pPr>
              <w:spacing w:line="300" w:lineRule="exact"/>
              <w:rPr>
                <w:rFonts w:ascii="宋体" w:hAnsi="宋体"/>
                <w:szCs w:val="21"/>
              </w:rPr>
            </w:pPr>
            <w:r>
              <w:rPr>
                <w:rFonts w:ascii="宋体" w:hAnsi="宋体"/>
                <w:szCs w:val="21"/>
              </w:rPr>
              <w:t>组织企业核实亩均效益评价数据</w:t>
            </w:r>
          </w:p>
        </w:tc>
        <w:tc>
          <w:tcPr>
            <w:tcW w:w="851" w:type="dxa"/>
            <w:vAlign w:val="center"/>
          </w:tcPr>
          <w:p>
            <w:pPr>
              <w:spacing w:line="300" w:lineRule="exact"/>
              <w:jc w:val="center"/>
              <w:rPr>
                <w:rFonts w:ascii="宋体" w:hAnsi="宋体"/>
                <w:szCs w:val="21"/>
              </w:rPr>
            </w:pPr>
            <w:r>
              <w:rPr>
                <w:rFonts w:ascii="宋体" w:hAnsi="宋体"/>
                <w:szCs w:val="21"/>
              </w:rPr>
              <w:t>5月底</w:t>
            </w:r>
          </w:p>
        </w:tc>
      </w:tr>
    </w:tbl>
    <w:p>
      <w:pPr>
        <w:spacing w:line="580" w:lineRule="exact"/>
        <w:rPr>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p>
      <w:pPr>
        <w:spacing w:line="580" w:lineRule="exact"/>
        <w:ind w:firstLine="620" w:firstLineChars="200"/>
        <w:rPr>
          <w:rFonts w:eastAsia="仿宋_GB2312"/>
          <w:sz w:val="31"/>
          <w:szCs w:val="31"/>
        </w:rPr>
      </w:pPr>
    </w:p>
    <w:tbl>
      <w:tblPr>
        <w:tblW w:w="8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834" w:type="dxa"/>
            <w:tcBorders>
              <w:left w:val="nil"/>
              <w:right w:val="nil"/>
            </w:tcBorders>
            <w:vAlign w:val="top"/>
          </w:tcPr>
          <w:p>
            <w:pPr>
              <w:spacing w:line="580" w:lineRule="exact"/>
              <w:rPr>
                <w:rFonts w:eastAsia="仿宋_GB2312"/>
                <w:spacing w:val="5"/>
                <w:sz w:val="30"/>
                <w:szCs w:val="30"/>
              </w:rPr>
            </w:pPr>
            <w:r>
              <w:rPr>
                <w:rFonts w:eastAsia="仿宋_GB2312"/>
                <w:spacing w:val="5"/>
                <w:sz w:val="30"/>
                <w:szCs w:val="30"/>
              </w:rPr>
              <w:t>中共马鞍山市委办公室                2019年</w:t>
            </w:r>
            <w:r>
              <w:rPr>
                <w:rFonts w:hint="eastAsia" w:eastAsia="仿宋_GB2312"/>
                <w:spacing w:val="5"/>
                <w:sz w:val="30"/>
                <w:szCs w:val="30"/>
              </w:rPr>
              <w:t>5</w:t>
            </w:r>
            <w:r>
              <w:rPr>
                <w:rFonts w:eastAsia="仿宋_GB2312"/>
                <w:spacing w:val="5"/>
                <w:sz w:val="30"/>
                <w:szCs w:val="30"/>
              </w:rPr>
              <w:t>月</w:t>
            </w:r>
            <w:r>
              <w:rPr>
                <w:rFonts w:hint="eastAsia" w:eastAsia="仿宋_GB2312"/>
                <w:spacing w:val="5"/>
                <w:sz w:val="30"/>
                <w:szCs w:val="30"/>
              </w:rPr>
              <w:t>10</w:t>
            </w:r>
            <w:r>
              <w:rPr>
                <w:rFonts w:eastAsia="仿宋_GB2312"/>
                <w:spacing w:val="5"/>
                <w:sz w:val="30"/>
                <w:szCs w:val="30"/>
              </w:rPr>
              <w:t>日印发</w:t>
            </w:r>
          </w:p>
        </w:tc>
      </w:tr>
    </w:tbl>
    <w:p>
      <w:pPr>
        <w:spacing w:line="100" w:lineRule="exact"/>
        <w:ind w:firstLine="620" w:firstLineChars="200"/>
        <w:rPr>
          <w:rFonts w:eastAsia="仿宋_GB2312"/>
          <w:sz w:val="31"/>
          <w:szCs w:val="31"/>
        </w:rPr>
      </w:pPr>
    </w:p>
    <w:sectPr>
      <w:headerReference r:id="rId4" w:type="default"/>
      <w:footerReference r:id="rId5" w:type="default"/>
      <w:footerReference r:id="rId6" w:type="even"/>
      <w:pgSz w:w="11906" w:h="16838"/>
      <w:pgMar w:top="2041" w:right="1644" w:bottom="1871" w:left="1644"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方正仿宋简体">
    <w:altName w:val="宋体"/>
    <w:panose1 w:val="00000000000000000000"/>
    <w:charset w:val="86"/>
    <w:family w:val="auto"/>
    <w:pitch w:val="default"/>
    <w:sig w:usb0="00000000" w:usb1="080E0000" w:usb2="00000010" w:usb3="00000000" w:csb0="00040000"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outside" w:y="1"/>
      <w:ind w:left="210" w:leftChars="100" w:right="210" w:rightChars="100"/>
      <w:rPr>
        <w:rStyle w:val="6"/>
        <w:rFonts w:ascii="Times New Roman" w:hAnsi="Times New Roman"/>
        <w:sz w:val="28"/>
        <w:szCs w:val="28"/>
      </w:rPr>
    </w:pPr>
    <w:r>
      <w:rPr>
        <w:rStyle w:val="6"/>
        <w:rFonts w:ascii="Times New Roman" w:hAnsi="Times New Roman"/>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2</w:t>
    </w:r>
    <w:r>
      <w:rPr>
        <w:rStyle w:val="6"/>
        <w:rFonts w:ascii="Times New Roman" w:hAnsi="Times New Roman"/>
        <w:sz w:val="28"/>
        <w:szCs w:val="28"/>
      </w:rPr>
      <w:fldChar w:fldCharType="end"/>
    </w:r>
    <w:r>
      <w:rPr>
        <w:rStyle w:val="6"/>
        <w:rFonts w:ascii="Times New Roman" w:hAnsi="Times New Roman"/>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outside"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50000" w:hash="jObUA87tvaQoA20ti9LJeXc2yq0=" w:salt="HkAlndHsmexaGF4Krate7w=="/>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DocumentID" w:val="{1D824B1A-31DE-4B29-B1B7-0BB3590E8D30}"/>
    <w:docVar w:name="DocumentName" w:val="NTKOOFFICE控件 中的文档"/>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paragraph" w:styleId="2">
    <w:name w:val="Body Text Indent 2"/>
    <w:basedOn w:val="1"/>
    <w:link w:val="11"/>
    <w:uiPriority w:val="0"/>
    <w:pPr>
      <w:spacing w:line="288" w:lineRule="auto"/>
      <w:ind w:left="868" w:hanging="868"/>
    </w:pPr>
    <w:rPr>
      <w:rFonts w:eastAsia="方正仿宋简体"/>
      <w:sz w:val="28"/>
    </w:rPr>
  </w:style>
  <w:style w:type="paragraph" w:styleId="3">
    <w:name w:val="footer"/>
    <w:basedOn w:val="1"/>
    <w:link w:val="10"/>
    <w:unhideWhenUsed/>
    <w:uiPriority w:val="0"/>
    <w:pPr>
      <w:tabs>
        <w:tab w:val="center" w:pos="4153"/>
        <w:tab w:val="right" w:pos="8306"/>
      </w:tabs>
      <w:snapToGrid w:val="0"/>
      <w:jc w:val="left"/>
    </w:pPr>
    <w:rPr>
      <w:rFonts w:ascii="Calibri" w:hAnsi="Calibri"/>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basedOn w:val="5"/>
    <w:unhideWhenUsed/>
    <w:uiPriority w:val="99"/>
    <w:rPr>
      <w:rFonts w:ascii="Calibri" w:hAnsi="Calibri" w:eastAsia="宋体" w:cs="Times New Roman"/>
    </w:rPr>
  </w:style>
  <w:style w:type="paragraph" w:customStyle="1" w:styleId="7">
    <w:name w:val="Char Char Char Char"/>
    <w:basedOn w:val="1"/>
    <w:uiPriority w:val="0"/>
    <w:rPr>
      <w:rFonts w:eastAsia="仿宋_GB2312"/>
      <w:sz w:val="30"/>
      <w:szCs w:val="30"/>
    </w:rPr>
  </w:style>
  <w:style w:type="paragraph" w:customStyle="1" w:styleId="8">
    <w:name w:val="Char Char Char"/>
    <w:basedOn w:val="1"/>
    <w:uiPriority w:val="0"/>
    <w:rPr>
      <w:szCs w:val="24"/>
    </w:rPr>
  </w:style>
  <w:style w:type="character" w:customStyle="1" w:styleId="9">
    <w:name w:val="页眉 Char"/>
    <w:basedOn w:val="5"/>
    <w:link w:val="4"/>
    <w:uiPriority w:val="0"/>
    <w:rPr>
      <w:rFonts w:ascii="Calibri" w:hAnsi="Calibri" w:eastAsia="宋体" w:cs="Times New Roman"/>
      <w:sz w:val="18"/>
      <w:szCs w:val="18"/>
    </w:rPr>
  </w:style>
  <w:style w:type="character" w:customStyle="1" w:styleId="10">
    <w:name w:val="页脚 Char"/>
    <w:basedOn w:val="5"/>
    <w:link w:val="3"/>
    <w:uiPriority w:val="0"/>
    <w:rPr>
      <w:rFonts w:ascii="Calibri" w:hAnsi="Calibri" w:eastAsia="宋体" w:cs="Times New Roman"/>
      <w:sz w:val="18"/>
      <w:szCs w:val="18"/>
    </w:rPr>
  </w:style>
  <w:style w:type="character" w:customStyle="1" w:styleId="11">
    <w:name w:val="正文文本缩进 2 Char"/>
    <w:basedOn w:val="5"/>
    <w:link w:val="2"/>
    <w:uiPriority w:val="0"/>
    <w:rPr>
      <w:rFonts w:ascii="Times New Roman" w:hAnsi="Times New Roman" w:eastAsia="方正仿宋简体" w:cs="Times New Roman"/>
      <w:sz w:val="28"/>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3.png"/><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image" Target="media/image1.jpeg"/><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1428</Words>
  <Characters>8143</Characters>
  <Lines>67</Lines>
  <Paragraphs>19</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2019-05-09T02:16:00Z</dcterms:created>
  <dc:creator>李晓燕</dc:creator>
  <cp:lastModifiedBy>崔爱民</cp:lastModifiedBy>
  <dcterms:modified xsi:type="dcterms:W3CDTF">2019-05-14T00:12:40Z</dcterms:modified>
  <dc:title>党办〔2019〕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