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560" w:lineRule="exact"/>
        <w:jc w:val="center"/>
        <w:textAlignment w:val="auto"/>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佛山高新技术产业开发区管理委员会关于</w:t>
      </w:r>
    </w:p>
    <w:p>
      <w:pPr>
        <w:keepNext w:val="0"/>
        <w:keepLines w:val="0"/>
        <w:pageBreakBefore w:val="0"/>
        <w:kinsoku/>
        <w:wordWrap/>
        <w:overflowPunct/>
        <w:topLinePunct w:val="0"/>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瞪羚企业的认定及资助实施细则</w:t>
      </w:r>
      <w:bookmarkEnd w:id="0"/>
    </w:p>
    <w:p>
      <w:pPr>
        <w:keepNext w:val="0"/>
        <w:keepLines w:val="0"/>
        <w:pageBreakBefore w:val="0"/>
        <w:kinsoku/>
        <w:wordWrap/>
        <w:overflowPunct/>
        <w:topLinePunct w:val="0"/>
        <w:autoSpaceDN/>
        <w:bidi w:val="0"/>
        <w:spacing w:line="560" w:lineRule="exact"/>
        <w:textAlignment w:val="auto"/>
        <w:rPr>
          <w:rFonts w:ascii="仿宋" w:hAnsi="仿宋" w:eastAsia="仿宋"/>
          <w:sz w:val="32"/>
          <w:szCs w:val="32"/>
        </w:rPr>
      </w:pPr>
    </w:p>
    <w:p>
      <w:pPr>
        <w:keepNext w:val="0"/>
        <w:keepLines w:val="0"/>
        <w:pageBreakBefore w:val="0"/>
        <w:kinsoku/>
        <w:wordWrap/>
        <w:overflowPunct/>
        <w:topLinePunct w:val="0"/>
        <w:autoSpaceDN/>
        <w:bidi w:val="0"/>
        <w:spacing w:line="560" w:lineRule="exact"/>
        <w:jc w:val="center"/>
        <w:textAlignment w:val="auto"/>
        <w:rPr>
          <w:rFonts w:ascii="黑体" w:hAnsi="黑体" w:eastAsia="黑体" w:cs="黑体"/>
          <w:sz w:val="32"/>
          <w:szCs w:val="32"/>
        </w:rPr>
      </w:pPr>
      <w:r>
        <w:rPr>
          <w:rFonts w:ascii="黑体" w:hAnsi="黑体" w:eastAsia="黑体" w:cs="黑体"/>
          <w:sz w:val="32"/>
          <w:szCs w:val="32"/>
        </w:rPr>
        <w:t>第一章 总则</w:t>
      </w:r>
    </w:p>
    <w:p>
      <w:pPr>
        <w:keepNext w:val="0"/>
        <w:keepLines w:val="0"/>
        <w:pageBreakBefore w:val="0"/>
        <w:kinsoku/>
        <w:wordWrap/>
        <w:overflowPunct/>
        <w:topLinePunct w:val="0"/>
        <w:autoSpaceDN/>
        <w:bidi w:val="0"/>
        <w:adjustRightInd w:val="0"/>
        <w:snapToGrid w:val="0"/>
        <w:spacing w:line="560" w:lineRule="exact"/>
        <w:jc w:val="center"/>
        <w:textAlignment w:val="auto"/>
        <w:rPr>
          <w:rFonts w:ascii="仿宋" w:hAnsi="仿宋" w:eastAsia="仿宋"/>
          <w:bCs/>
          <w:sz w:val="32"/>
          <w:szCs w:val="32"/>
          <w:shd w:val="clear" w:color="auto" w:fill="FFFFFF"/>
        </w:rPr>
      </w:pP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黑体" w:hAnsi="黑体" w:eastAsia="黑体" w:cs="黑体"/>
          <w:sz w:val="32"/>
          <w:szCs w:val="32"/>
        </w:rPr>
        <w:t>第一条</w:t>
      </w:r>
      <w:r>
        <w:rPr>
          <w:rFonts w:ascii="仿宋" w:hAnsi="仿宋" w:eastAsia="仿宋"/>
          <w:bCs/>
          <w:sz w:val="32"/>
          <w:szCs w:val="32"/>
          <w:shd w:val="clear" w:color="auto" w:fill="FFFFFF"/>
        </w:rPr>
        <w:t xml:space="preserve"> </w:t>
      </w:r>
      <w:r>
        <w:rPr>
          <w:rFonts w:ascii="仿宋" w:hAnsi="仿宋" w:eastAsia="仿宋"/>
          <w:sz w:val="32"/>
          <w:szCs w:val="32"/>
          <w:shd w:val="clear" w:color="auto" w:fill="FFFFFF"/>
        </w:rPr>
        <w:t>为加快发展高新技术产业，激发企业创新活力，重点培育和鼓励引进一批快速增长、创新性强的优质企业，创建创新型园区，推进国家自主创新示范区建设，</w:t>
      </w:r>
      <w:r>
        <w:rPr>
          <w:rFonts w:hint="eastAsia" w:ascii="仿宋" w:hAnsi="仿宋" w:eastAsia="仿宋"/>
          <w:sz w:val="32"/>
          <w:szCs w:val="32"/>
          <w:highlight w:val="none"/>
          <w:shd w:val="clear" w:color="auto" w:fill="FFFFFF"/>
        </w:rPr>
        <w:t>佛山高新技术产业开发区管理委员会（以下简称佛山高新区管委会）</w:t>
      </w:r>
      <w:r>
        <w:rPr>
          <w:rFonts w:ascii="仿宋" w:hAnsi="仿宋" w:eastAsia="仿宋"/>
          <w:sz w:val="32"/>
          <w:szCs w:val="32"/>
          <w:highlight w:val="none"/>
          <w:shd w:val="clear" w:color="auto" w:fill="FFFFFF"/>
        </w:rPr>
        <w:t>决</w:t>
      </w:r>
      <w:r>
        <w:rPr>
          <w:rFonts w:ascii="仿宋" w:hAnsi="仿宋" w:eastAsia="仿宋"/>
          <w:sz w:val="32"/>
          <w:szCs w:val="32"/>
          <w:shd w:val="clear" w:color="auto" w:fill="FFFFFF"/>
        </w:rPr>
        <w:t>定开展瞪羚企业认定及扶持工作，特制定本细则。</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黑体" w:hAnsi="黑体" w:eastAsia="黑体" w:cs="黑体"/>
          <w:sz w:val="32"/>
          <w:szCs w:val="32"/>
        </w:rPr>
        <w:t>第二条</w:t>
      </w:r>
      <w:r>
        <w:rPr>
          <w:rFonts w:ascii="仿宋" w:hAnsi="仿宋" w:eastAsia="仿宋"/>
          <w:sz w:val="32"/>
          <w:szCs w:val="32"/>
          <w:shd w:val="clear" w:color="auto" w:fill="FFFFFF"/>
        </w:rPr>
        <w:t xml:space="preserve"> 本细则所</w:t>
      </w:r>
      <w:r>
        <w:rPr>
          <w:rFonts w:hint="eastAsia" w:ascii="仿宋" w:hAnsi="仿宋" w:eastAsia="仿宋"/>
          <w:sz w:val="32"/>
          <w:szCs w:val="32"/>
          <w:shd w:val="clear" w:color="auto" w:fill="FFFFFF"/>
        </w:rPr>
        <w:t>称</w:t>
      </w:r>
      <w:r>
        <w:rPr>
          <w:rFonts w:ascii="仿宋" w:hAnsi="仿宋" w:eastAsia="仿宋"/>
          <w:sz w:val="32"/>
          <w:szCs w:val="32"/>
          <w:shd w:val="clear" w:color="auto" w:fill="FFFFFF"/>
        </w:rPr>
        <w:t>瞪羚企业是指成长速度快、创新能力强、发展前景好、科技含量高，从事高新技术产业的成长型企业。</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黑体" w:hAnsi="黑体" w:eastAsia="黑体" w:cs="黑体"/>
          <w:sz w:val="32"/>
          <w:szCs w:val="32"/>
        </w:rPr>
        <w:t>第三条</w:t>
      </w:r>
      <w:r>
        <w:rPr>
          <w:rFonts w:ascii="仿宋" w:hAnsi="仿宋" w:eastAsia="仿宋"/>
          <w:sz w:val="32"/>
          <w:szCs w:val="32"/>
          <w:highlight w:val="none"/>
          <w:shd w:val="clear" w:color="auto" w:fill="FFFFFF"/>
        </w:rPr>
        <w:t xml:space="preserve"> </w:t>
      </w:r>
      <w:r>
        <w:rPr>
          <w:rFonts w:hint="eastAsia" w:ascii="仿宋" w:hAnsi="仿宋" w:eastAsia="仿宋"/>
          <w:sz w:val="32"/>
          <w:szCs w:val="32"/>
          <w:highlight w:val="none"/>
          <w:shd w:val="clear" w:color="auto" w:fill="FFFFFF"/>
        </w:rPr>
        <w:t>佛山高新技术产业开发区（以下简称</w:t>
      </w:r>
      <w:r>
        <w:rPr>
          <w:rFonts w:ascii="仿宋" w:hAnsi="仿宋" w:eastAsia="仿宋"/>
          <w:sz w:val="32"/>
          <w:szCs w:val="32"/>
          <w:highlight w:val="none"/>
          <w:shd w:val="clear" w:color="auto" w:fill="FFFFFF"/>
        </w:rPr>
        <w:t>佛山高新区</w:t>
      </w:r>
      <w:r>
        <w:rPr>
          <w:rFonts w:hint="eastAsia" w:ascii="仿宋" w:hAnsi="仿宋" w:eastAsia="仿宋"/>
          <w:sz w:val="32"/>
          <w:szCs w:val="32"/>
          <w:highlight w:val="none"/>
          <w:shd w:val="clear" w:color="auto" w:fill="FFFFFF"/>
        </w:rPr>
        <w:t>）</w:t>
      </w:r>
      <w:r>
        <w:rPr>
          <w:rFonts w:ascii="仿宋" w:hAnsi="仿宋" w:eastAsia="仿宋"/>
          <w:sz w:val="32"/>
          <w:szCs w:val="32"/>
          <w:highlight w:val="none"/>
          <w:shd w:val="clear" w:color="auto" w:fill="FFFFFF"/>
        </w:rPr>
        <w:t>瞪羚企业培育库入库企业培育期为3年，到期后企业可再次申请。</w:t>
      </w:r>
      <w:r>
        <w:rPr>
          <w:rFonts w:ascii="仿宋" w:hAnsi="仿宋" w:eastAsia="仿宋"/>
          <w:sz w:val="32"/>
          <w:szCs w:val="32"/>
          <w:shd w:val="clear" w:color="auto" w:fill="FFFFFF"/>
        </w:rPr>
        <w:t>佛山高新区瞪羚企业培育库实行动态管理，每年进行企业动态评估，未通过年度动态评估的企业不可享受</w:t>
      </w:r>
      <w:r>
        <w:rPr>
          <w:rFonts w:hint="eastAsia" w:ascii="仿宋" w:hAnsi="仿宋" w:eastAsia="仿宋"/>
          <w:sz w:val="32"/>
          <w:szCs w:val="32"/>
          <w:shd w:val="clear" w:color="auto" w:fill="FFFFFF"/>
        </w:rPr>
        <w:t>本细则规定的</w:t>
      </w:r>
      <w:r>
        <w:rPr>
          <w:rFonts w:ascii="仿宋" w:hAnsi="仿宋" w:eastAsia="仿宋"/>
          <w:sz w:val="32"/>
          <w:szCs w:val="32"/>
          <w:shd w:val="clear" w:color="auto" w:fill="FFFFFF"/>
        </w:rPr>
        <w:t>当年度政策扶持。</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黑体" w:hAnsi="黑体" w:eastAsia="黑体" w:cs="黑体"/>
          <w:sz w:val="32"/>
          <w:szCs w:val="32"/>
        </w:rPr>
        <w:t>第四条</w:t>
      </w:r>
      <w:r>
        <w:rPr>
          <w:rFonts w:ascii="仿宋" w:hAnsi="仿宋" w:eastAsia="仿宋"/>
          <w:sz w:val="32"/>
          <w:szCs w:val="32"/>
          <w:shd w:val="clear" w:color="auto" w:fill="FFFFFF"/>
        </w:rPr>
        <w:t xml:space="preserve"> 佛山高新区管委会在佛山高新区经济发展专项资金中安排</w:t>
      </w:r>
      <w:r>
        <w:rPr>
          <w:rFonts w:hint="eastAsia" w:ascii="仿宋" w:hAnsi="仿宋" w:eastAsia="仿宋"/>
          <w:sz w:val="32"/>
          <w:szCs w:val="32"/>
          <w:shd w:val="clear" w:color="auto" w:fill="FFFFFF"/>
        </w:rPr>
        <w:t>一定</w:t>
      </w:r>
      <w:r>
        <w:rPr>
          <w:rFonts w:ascii="仿宋" w:hAnsi="仿宋" w:eastAsia="仿宋"/>
          <w:sz w:val="32"/>
          <w:szCs w:val="32"/>
          <w:shd w:val="clear" w:color="auto" w:fill="FFFFFF"/>
        </w:rPr>
        <w:t>财政资金用于瞪羚企业</w:t>
      </w:r>
      <w:r>
        <w:rPr>
          <w:rFonts w:hint="eastAsia" w:ascii="仿宋" w:hAnsi="仿宋" w:eastAsia="仿宋"/>
          <w:sz w:val="32"/>
          <w:szCs w:val="32"/>
          <w:shd w:val="clear" w:color="auto" w:fill="FFFFFF"/>
        </w:rPr>
        <w:t>的</w:t>
      </w:r>
      <w:r>
        <w:rPr>
          <w:rFonts w:ascii="仿宋" w:hAnsi="仿宋" w:eastAsia="仿宋"/>
          <w:sz w:val="32"/>
          <w:szCs w:val="32"/>
          <w:shd w:val="clear" w:color="auto" w:fill="FFFFFF"/>
        </w:rPr>
        <w:t>认定</w:t>
      </w:r>
      <w:r>
        <w:rPr>
          <w:rFonts w:hint="eastAsia" w:ascii="仿宋" w:hAnsi="仿宋" w:eastAsia="仿宋"/>
          <w:sz w:val="32"/>
          <w:szCs w:val="32"/>
          <w:shd w:val="clear" w:color="auto" w:fill="FFFFFF"/>
        </w:rPr>
        <w:t>及资助</w:t>
      </w:r>
      <w:r>
        <w:rPr>
          <w:rFonts w:ascii="仿宋" w:hAnsi="仿宋" w:eastAsia="仿宋"/>
          <w:sz w:val="32"/>
          <w:szCs w:val="32"/>
          <w:shd w:val="clear" w:color="auto" w:fill="FFFFFF"/>
        </w:rPr>
        <w:t>，培育具有影响力的瞪羚企业集群，提升区域经济发展活力，推动佛山高新区高质量发展。</w:t>
      </w:r>
    </w:p>
    <w:p>
      <w:pPr>
        <w:keepNext w:val="0"/>
        <w:keepLines w:val="0"/>
        <w:pageBreakBefore w:val="0"/>
        <w:kinsoku/>
        <w:wordWrap/>
        <w:overflowPunct/>
        <w:topLinePunct w:val="0"/>
        <w:autoSpaceDN/>
        <w:bidi w:val="0"/>
        <w:spacing w:line="560" w:lineRule="exact"/>
        <w:textAlignment w:val="auto"/>
        <w:rPr>
          <w:rFonts w:ascii="仿宋" w:hAnsi="仿宋" w:eastAsia="仿宋"/>
          <w:sz w:val="32"/>
          <w:szCs w:val="32"/>
          <w:shd w:val="clear" w:color="auto" w:fill="FFFFFF"/>
        </w:rPr>
      </w:pPr>
    </w:p>
    <w:p>
      <w:pPr>
        <w:keepNext w:val="0"/>
        <w:keepLines w:val="0"/>
        <w:pageBreakBefore w:val="0"/>
        <w:kinsoku/>
        <w:wordWrap/>
        <w:overflowPunct/>
        <w:topLinePunct w:val="0"/>
        <w:autoSpaceDN/>
        <w:bidi w:val="0"/>
        <w:spacing w:line="560" w:lineRule="exact"/>
        <w:jc w:val="center"/>
        <w:textAlignment w:val="auto"/>
        <w:rPr>
          <w:rFonts w:ascii="黑体" w:hAnsi="黑体" w:eastAsia="黑体" w:cs="黑体"/>
          <w:sz w:val="32"/>
          <w:szCs w:val="32"/>
        </w:rPr>
      </w:pPr>
      <w:r>
        <w:rPr>
          <w:rFonts w:ascii="黑体" w:hAnsi="黑体" w:eastAsia="黑体" w:cs="黑体"/>
          <w:sz w:val="32"/>
          <w:szCs w:val="32"/>
        </w:rPr>
        <w:t>第二章  职责分工</w:t>
      </w:r>
    </w:p>
    <w:p>
      <w:pPr>
        <w:keepNext w:val="0"/>
        <w:keepLines w:val="0"/>
        <w:pageBreakBefore w:val="0"/>
        <w:kinsoku/>
        <w:wordWrap/>
        <w:overflowPunct/>
        <w:topLinePunct w:val="0"/>
        <w:autoSpaceDN/>
        <w:bidi w:val="0"/>
        <w:spacing w:line="560" w:lineRule="exact"/>
        <w:ind w:firstLine="640" w:firstLineChars="200"/>
        <w:textAlignment w:val="auto"/>
        <w:rPr>
          <w:rFonts w:ascii="黑体" w:hAnsi="黑体" w:eastAsia="黑体" w:cs="黑体"/>
          <w:sz w:val="32"/>
          <w:szCs w:val="32"/>
        </w:rPr>
      </w:pP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highlight w:val="none"/>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条</w:t>
      </w:r>
      <w:r>
        <w:rPr>
          <w:rFonts w:ascii="仿宋" w:hAnsi="仿宋" w:eastAsia="仿宋"/>
          <w:sz w:val="32"/>
          <w:szCs w:val="32"/>
        </w:rPr>
        <w:t xml:space="preserve"> 佛山高新区管委会科技创新局（知识产权局）（以下简称科技创新局）的主要职责是：编制</w:t>
      </w:r>
      <w:r>
        <w:rPr>
          <w:rFonts w:ascii="仿宋" w:hAnsi="仿宋" w:eastAsia="仿宋"/>
          <w:sz w:val="32"/>
          <w:szCs w:val="32"/>
          <w:shd w:val="clear" w:color="auto" w:fill="FFFFFF"/>
        </w:rPr>
        <w:t>瞪羚企业</w:t>
      </w:r>
      <w:r>
        <w:rPr>
          <w:rFonts w:ascii="仿宋" w:hAnsi="仿宋" w:eastAsia="仿宋"/>
          <w:sz w:val="32"/>
          <w:szCs w:val="32"/>
        </w:rPr>
        <w:t>的认定及资助实施细则；编制申报</w:t>
      </w:r>
      <w:r>
        <w:rPr>
          <w:rFonts w:hint="eastAsia" w:ascii="仿宋" w:hAnsi="仿宋" w:eastAsia="仿宋"/>
          <w:sz w:val="32"/>
          <w:szCs w:val="32"/>
        </w:rPr>
        <w:t>指南和</w:t>
      </w:r>
      <w:r>
        <w:rPr>
          <w:rFonts w:ascii="仿宋" w:hAnsi="仿宋" w:eastAsia="仿宋"/>
          <w:sz w:val="32"/>
          <w:szCs w:val="32"/>
        </w:rPr>
        <w:t>通知，组织开展项目申报、审核、立项、结题等工作；组织开展绩效评价；</w:t>
      </w:r>
      <w:r>
        <w:rPr>
          <w:rFonts w:hint="eastAsia" w:ascii="仿宋" w:hAnsi="仿宋" w:eastAsia="仿宋"/>
          <w:sz w:val="32"/>
          <w:szCs w:val="32"/>
          <w:highlight w:val="none"/>
        </w:rPr>
        <w:t>负责项目监督与管理，做</w:t>
      </w:r>
      <w:r>
        <w:rPr>
          <w:rFonts w:ascii="仿宋" w:hAnsi="仿宋" w:eastAsia="仿宋"/>
          <w:sz w:val="32"/>
          <w:szCs w:val="32"/>
          <w:highlight w:val="none"/>
          <w:lang w:bidi="ar"/>
        </w:rPr>
        <w:t>好</w:t>
      </w:r>
      <w:r>
        <w:rPr>
          <w:rFonts w:ascii="仿宋" w:hAnsi="仿宋" w:eastAsia="仿宋"/>
          <w:sz w:val="32"/>
          <w:szCs w:val="32"/>
          <w:highlight w:val="none"/>
        </w:rPr>
        <w:t>佛山高新区各</w:t>
      </w:r>
      <w:r>
        <w:rPr>
          <w:rFonts w:hint="eastAsia" w:ascii="仿宋" w:hAnsi="仿宋" w:eastAsia="仿宋"/>
          <w:sz w:val="32"/>
          <w:szCs w:val="32"/>
          <w:highlight w:val="none"/>
        </w:rPr>
        <w:t>园</w:t>
      </w:r>
      <w:r>
        <w:rPr>
          <w:rFonts w:ascii="仿宋" w:hAnsi="仿宋" w:eastAsia="仿宋"/>
          <w:sz w:val="32"/>
          <w:szCs w:val="32"/>
          <w:highlight w:val="none"/>
        </w:rPr>
        <w:t>管理局</w:t>
      </w:r>
      <w:r>
        <w:rPr>
          <w:rFonts w:ascii="仿宋" w:hAnsi="仿宋" w:eastAsia="仿宋"/>
          <w:sz w:val="32"/>
          <w:szCs w:val="32"/>
          <w:highlight w:val="none"/>
          <w:lang w:bidi="ar"/>
        </w:rPr>
        <w:t>的指导与监督工作</w:t>
      </w:r>
      <w:r>
        <w:rPr>
          <w:rFonts w:hint="eastAsia" w:ascii="仿宋" w:hAnsi="仿宋" w:eastAsia="仿宋"/>
          <w:sz w:val="32"/>
          <w:szCs w:val="32"/>
          <w:highlight w:val="none"/>
          <w:lang w:bidi="ar"/>
        </w:rPr>
        <w:t>；</w:t>
      </w:r>
      <w:r>
        <w:rPr>
          <w:rFonts w:ascii="仿宋" w:hAnsi="仿宋" w:eastAsia="仿宋"/>
          <w:sz w:val="32"/>
          <w:szCs w:val="32"/>
          <w:highlight w:val="none"/>
        </w:rPr>
        <w:t>接受</w:t>
      </w:r>
      <w:r>
        <w:rPr>
          <w:rFonts w:hint="eastAsia" w:ascii="仿宋" w:hAnsi="仿宋" w:eastAsia="仿宋"/>
          <w:sz w:val="32"/>
          <w:szCs w:val="32"/>
          <w:highlight w:val="none"/>
        </w:rPr>
        <w:t>佛山高新区纪检监察工作委员会、</w:t>
      </w:r>
      <w:r>
        <w:rPr>
          <w:rFonts w:ascii="仿宋" w:hAnsi="仿宋" w:eastAsia="仿宋"/>
          <w:sz w:val="32"/>
          <w:szCs w:val="32"/>
          <w:highlight w:val="none"/>
        </w:rPr>
        <w:t>佛山高新区管委会规划和财政局（以下简称规划和财政局）等的监督。</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w:t>
      </w:r>
      <w:r>
        <w:rPr>
          <w:rFonts w:hint="eastAsia" w:ascii="黑体" w:hAnsi="黑体" w:eastAsia="黑体" w:cs="黑体"/>
          <w:sz w:val="32"/>
          <w:szCs w:val="32"/>
        </w:rPr>
        <w:t>六</w:t>
      </w:r>
      <w:r>
        <w:rPr>
          <w:rFonts w:ascii="黑体" w:hAnsi="黑体" w:eastAsia="黑体" w:cs="黑体"/>
          <w:sz w:val="32"/>
          <w:szCs w:val="32"/>
        </w:rPr>
        <w:t>条</w:t>
      </w:r>
      <w:r>
        <w:rPr>
          <w:rFonts w:hint="eastAsia" w:ascii="仿宋" w:hAnsi="仿宋" w:eastAsia="仿宋"/>
          <w:sz w:val="32"/>
          <w:szCs w:val="32"/>
        </w:rPr>
        <w:t xml:space="preserve"> </w:t>
      </w:r>
      <w:r>
        <w:rPr>
          <w:rFonts w:ascii="仿宋" w:hAnsi="仿宋" w:eastAsia="仿宋"/>
          <w:sz w:val="32"/>
          <w:szCs w:val="32"/>
        </w:rPr>
        <w:t>规划和财政局的主要职责是：按规定拨付资金；监督专项资金使用。</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w:t>
      </w:r>
      <w:r>
        <w:rPr>
          <w:rFonts w:hint="eastAsia" w:ascii="黑体" w:hAnsi="黑体" w:eastAsia="黑体" w:cs="黑体"/>
          <w:sz w:val="32"/>
          <w:szCs w:val="32"/>
        </w:rPr>
        <w:t>七</w:t>
      </w:r>
      <w:r>
        <w:rPr>
          <w:rFonts w:ascii="黑体" w:hAnsi="黑体" w:eastAsia="黑体" w:cs="黑体"/>
          <w:sz w:val="32"/>
          <w:szCs w:val="32"/>
        </w:rPr>
        <w:t>条</w:t>
      </w:r>
      <w:r>
        <w:rPr>
          <w:rFonts w:ascii="仿宋" w:hAnsi="仿宋" w:eastAsia="仿宋"/>
          <w:sz w:val="32"/>
          <w:szCs w:val="32"/>
        </w:rPr>
        <w:t xml:space="preserve"> 佛山高新区各</w:t>
      </w:r>
      <w:r>
        <w:rPr>
          <w:rFonts w:hint="eastAsia" w:ascii="仿宋" w:hAnsi="仿宋" w:eastAsia="仿宋"/>
          <w:sz w:val="32"/>
          <w:szCs w:val="32"/>
        </w:rPr>
        <w:t>园</w:t>
      </w:r>
      <w:r>
        <w:rPr>
          <w:rFonts w:ascii="仿宋" w:hAnsi="仿宋" w:eastAsia="仿宋"/>
          <w:sz w:val="32"/>
          <w:szCs w:val="32"/>
        </w:rPr>
        <w:t>管理局（以下简称各</w:t>
      </w:r>
      <w:r>
        <w:rPr>
          <w:rFonts w:hint="eastAsia" w:ascii="仿宋" w:hAnsi="仿宋" w:eastAsia="仿宋"/>
          <w:sz w:val="32"/>
          <w:szCs w:val="32"/>
        </w:rPr>
        <w:t>园</w:t>
      </w:r>
      <w:r>
        <w:rPr>
          <w:rFonts w:ascii="仿宋" w:hAnsi="仿宋" w:eastAsia="仿宋"/>
          <w:sz w:val="32"/>
          <w:szCs w:val="32"/>
        </w:rPr>
        <w:t>管理局）的主要职责是：协助开展项目申报、审核及资金拨付等工作；按</w:t>
      </w:r>
      <w:r>
        <w:rPr>
          <w:rFonts w:hint="eastAsia" w:ascii="仿宋" w:hAnsi="仿宋" w:eastAsia="仿宋"/>
          <w:sz w:val="32"/>
          <w:szCs w:val="32"/>
        </w:rPr>
        <w:t>评审</w:t>
      </w:r>
      <w:r>
        <w:rPr>
          <w:rFonts w:ascii="仿宋" w:hAnsi="仿宋" w:eastAsia="仿宋"/>
          <w:sz w:val="32"/>
          <w:szCs w:val="32"/>
        </w:rPr>
        <w:t>结果</w:t>
      </w:r>
      <w:r>
        <w:rPr>
          <w:rFonts w:hint="eastAsia" w:ascii="仿宋" w:hAnsi="仿宋" w:eastAsia="仿宋"/>
          <w:sz w:val="32"/>
          <w:szCs w:val="32"/>
        </w:rPr>
        <w:t>及各园</w:t>
      </w:r>
      <w:r>
        <w:rPr>
          <w:rFonts w:ascii="仿宋" w:hAnsi="仿宋" w:eastAsia="仿宋"/>
          <w:sz w:val="32"/>
          <w:szCs w:val="32"/>
        </w:rPr>
        <w:t>政策兑现安排给予项目资金配套支持；对</w:t>
      </w:r>
      <w:r>
        <w:rPr>
          <w:rFonts w:ascii="仿宋" w:hAnsi="仿宋" w:eastAsia="仿宋"/>
          <w:sz w:val="32"/>
          <w:szCs w:val="32"/>
          <w:lang w:bidi="ar"/>
        </w:rPr>
        <w:t>辖区内项目承担单位资金的使用进行指导与监督</w:t>
      </w:r>
      <w:r>
        <w:rPr>
          <w:rFonts w:hint="eastAsia" w:ascii="仿宋" w:hAnsi="仿宋" w:eastAsia="仿宋"/>
          <w:sz w:val="32"/>
          <w:szCs w:val="32"/>
          <w:lang w:bidi="ar"/>
        </w:rPr>
        <w:t>，</w:t>
      </w:r>
      <w:r>
        <w:rPr>
          <w:rFonts w:hint="eastAsia" w:ascii="仿宋" w:hAnsi="仿宋" w:eastAsia="仿宋"/>
          <w:sz w:val="32"/>
          <w:szCs w:val="32"/>
        </w:rPr>
        <w:t>及时反映和纠正资助资金使用过程中存在的问题</w:t>
      </w:r>
      <w:r>
        <w:rPr>
          <w:rFonts w:ascii="仿宋" w:hAnsi="仿宋" w:eastAsia="仿宋"/>
          <w:sz w:val="32"/>
          <w:szCs w:val="32"/>
          <w:lang w:bidi="ar"/>
        </w:rPr>
        <w:t>；</w:t>
      </w:r>
      <w:r>
        <w:rPr>
          <w:rFonts w:ascii="仿宋" w:hAnsi="仿宋" w:eastAsia="仿宋"/>
          <w:sz w:val="32"/>
          <w:szCs w:val="32"/>
        </w:rPr>
        <w:t>接受科技创新局业务指导和监督。</w:t>
      </w:r>
    </w:p>
    <w:p>
      <w:pPr>
        <w:keepNext w:val="0"/>
        <w:keepLines w:val="0"/>
        <w:pageBreakBefore w:val="0"/>
        <w:kinsoku/>
        <w:wordWrap/>
        <w:overflowPunct/>
        <w:topLinePunct w:val="0"/>
        <w:autoSpaceDN/>
        <w:bidi w:val="0"/>
        <w:spacing w:line="560" w:lineRule="exact"/>
        <w:textAlignment w:val="auto"/>
        <w:rPr>
          <w:rFonts w:ascii="仿宋" w:hAnsi="仿宋" w:eastAsia="仿宋"/>
          <w:sz w:val="32"/>
          <w:szCs w:val="32"/>
        </w:rPr>
      </w:pPr>
    </w:p>
    <w:p>
      <w:pPr>
        <w:keepNext w:val="0"/>
        <w:keepLines w:val="0"/>
        <w:pageBreakBefore w:val="0"/>
        <w:kinsoku/>
        <w:wordWrap/>
        <w:overflowPunct/>
        <w:topLinePunct w:val="0"/>
        <w:autoSpaceDN/>
        <w:bidi w:val="0"/>
        <w:spacing w:line="560" w:lineRule="exact"/>
        <w:jc w:val="center"/>
        <w:textAlignment w:val="auto"/>
        <w:rPr>
          <w:rFonts w:ascii="黑体" w:hAnsi="黑体" w:eastAsia="黑体" w:cs="黑体"/>
          <w:sz w:val="32"/>
          <w:szCs w:val="32"/>
        </w:rPr>
      </w:pPr>
      <w:r>
        <w:rPr>
          <w:rFonts w:ascii="黑体" w:hAnsi="黑体" w:eastAsia="黑体" w:cs="黑体"/>
          <w:sz w:val="32"/>
          <w:szCs w:val="32"/>
        </w:rPr>
        <w:t>第三章 认定条件</w:t>
      </w:r>
    </w:p>
    <w:p>
      <w:pPr>
        <w:keepNext w:val="0"/>
        <w:keepLines w:val="0"/>
        <w:pageBreakBefore w:val="0"/>
        <w:kinsoku/>
        <w:wordWrap/>
        <w:overflowPunct/>
        <w:topLinePunct w:val="0"/>
        <w:autoSpaceDN/>
        <w:bidi w:val="0"/>
        <w:spacing w:line="560" w:lineRule="exact"/>
        <w:jc w:val="center"/>
        <w:textAlignment w:val="auto"/>
        <w:rPr>
          <w:rFonts w:ascii="仿宋" w:hAnsi="仿宋" w:eastAsia="仿宋"/>
          <w:sz w:val="32"/>
          <w:szCs w:val="32"/>
        </w:rPr>
      </w:pP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w:t>
      </w:r>
      <w:r>
        <w:rPr>
          <w:rFonts w:hint="eastAsia" w:ascii="黑体" w:hAnsi="黑体" w:eastAsia="黑体" w:cs="黑体"/>
          <w:sz w:val="32"/>
          <w:szCs w:val="32"/>
        </w:rPr>
        <w:t>八</w:t>
      </w:r>
      <w:r>
        <w:rPr>
          <w:rFonts w:ascii="黑体" w:hAnsi="黑体" w:eastAsia="黑体" w:cs="黑体"/>
          <w:sz w:val="32"/>
          <w:szCs w:val="32"/>
        </w:rPr>
        <w:t>条</w:t>
      </w:r>
      <w:r>
        <w:rPr>
          <w:rFonts w:ascii="仿宋" w:hAnsi="仿宋" w:eastAsia="仿宋"/>
          <w:sz w:val="32"/>
          <w:szCs w:val="32"/>
        </w:rPr>
        <w:t xml:space="preserve"> 申报“瞪羚企业”的企业须满足以下条件：</w:t>
      </w:r>
    </w:p>
    <w:p>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ascii="仿宋" w:hAnsi="仿宋" w:eastAsia="仿宋"/>
          <w:sz w:val="32"/>
          <w:szCs w:val="32"/>
        </w:rPr>
      </w:pPr>
      <w:r>
        <w:rPr>
          <w:rFonts w:hint="eastAsia" w:ascii="楷体" w:hAnsi="楷体" w:eastAsia="楷体"/>
          <w:b/>
          <w:bCs/>
          <w:sz w:val="32"/>
          <w:szCs w:val="32"/>
        </w:rPr>
        <w:t>（一）</w:t>
      </w:r>
      <w:r>
        <w:rPr>
          <w:rFonts w:hint="eastAsia" w:ascii="仿宋" w:hAnsi="仿宋" w:eastAsia="仿宋"/>
          <w:sz w:val="32"/>
          <w:szCs w:val="32"/>
        </w:rPr>
        <w:t>申报单位必须是在佛山高新区范围内依法设立并具有独立法人资格或纳入火炬统计的单位，信用记录良好。</w:t>
      </w:r>
    </w:p>
    <w:p>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ascii="仿宋" w:hAnsi="仿宋" w:eastAsia="仿宋"/>
          <w:sz w:val="32"/>
          <w:szCs w:val="32"/>
        </w:rPr>
      </w:pPr>
      <w:r>
        <w:rPr>
          <w:rFonts w:ascii="楷体" w:hAnsi="楷体" w:eastAsia="楷体"/>
          <w:b/>
          <w:bCs/>
          <w:sz w:val="32"/>
          <w:szCs w:val="32"/>
        </w:rPr>
        <w:t>（二）</w:t>
      </w:r>
      <w:r>
        <w:rPr>
          <w:rFonts w:ascii="仿宋" w:hAnsi="仿宋" w:eastAsia="仿宋"/>
          <w:sz w:val="32"/>
          <w:szCs w:val="32"/>
        </w:rPr>
        <w:t>行业性质：符合佛山高新区产业发展方向，重点支持高端装备制造、智能家居、新材料、电子核心、生物医药与健康、生产性服务业等产业及机器人、增材制造、新能源汽车、氢能源、工业互联网等新产业新业态；烟草、铁路、矿产资源、公用事业、房地产、基础建设、银行、保险、传统商贸等垄断型、资源型、过剩产能型、低端制造型行业除外。</w:t>
      </w:r>
    </w:p>
    <w:p>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ascii="仿宋" w:hAnsi="仿宋" w:eastAsia="仿宋"/>
          <w:sz w:val="32"/>
          <w:szCs w:val="32"/>
        </w:rPr>
      </w:pPr>
      <w:r>
        <w:rPr>
          <w:rFonts w:ascii="楷体" w:hAnsi="楷体" w:eastAsia="楷体"/>
          <w:b/>
          <w:bCs/>
          <w:sz w:val="32"/>
          <w:szCs w:val="32"/>
        </w:rPr>
        <w:t>（三）</w:t>
      </w:r>
      <w:r>
        <w:rPr>
          <w:rFonts w:ascii="仿宋" w:hAnsi="仿宋" w:eastAsia="仿宋"/>
          <w:sz w:val="32"/>
          <w:szCs w:val="32"/>
        </w:rPr>
        <w:t>企业性质：非大型央企、国企、外企的生产基地、分公司、销售公司、贸易公司等。</w:t>
      </w:r>
    </w:p>
    <w:p>
      <w:pPr>
        <w:keepNext w:val="0"/>
        <w:keepLines w:val="0"/>
        <w:pageBreakBefore w:val="0"/>
        <w:kinsoku/>
        <w:wordWrap/>
        <w:overflowPunct/>
        <w:topLinePunct w:val="0"/>
        <w:autoSpaceDN/>
        <w:bidi w:val="0"/>
        <w:spacing w:line="560" w:lineRule="exact"/>
        <w:ind w:firstLine="643" w:firstLineChars="200"/>
        <w:textAlignment w:val="auto"/>
        <w:rPr>
          <w:rFonts w:ascii="仿宋" w:hAnsi="仿宋" w:eastAsia="仿宋"/>
          <w:sz w:val="32"/>
          <w:szCs w:val="32"/>
          <w:shd w:val="clear" w:color="auto" w:fill="FFFFFF"/>
        </w:rPr>
      </w:pPr>
      <w:r>
        <w:rPr>
          <w:rFonts w:ascii="楷体" w:hAnsi="楷体" w:eastAsia="楷体"/>
          <w:b/>
          <w:bCs/>
          <w:sz w:val="32"/>
          <w:szCs w:val="32"/>
        </w:rPr>
        <w:t>（四）</w:t>
      </w:r>
      <w:r>
        <w:rPr>
          <w:rFonts w:ascii="仿宋" w:hAnsi="仿宋" w:eastAsia="仿宋"/>
          <w:sz w:val="32"/>
          <w:szCs w:val="32"/>
          <w:shd w:val="clear" w:color="auto" w:fill="FFFFFF"/>
        </w:rPr>
        <w:t>企业</w:t>
      </w:r>
      <w:r>
        <w:rPr>
          <w:rFonts w:hint="eastAsia" w:ascii="仿宋" w:hAnsi="仿宋" w:eastAsia="仿宋"/>
          <w:sz w:val="32"/>
          <w:szCs w:val="32"/>
          <w:shd w:val="clear" w:color="auto" w:fill="FFFFFF"/>
        </w:rPr>
        <w:t>近三年内</w:t>
      </w:r>
      <w:r>
        <w:rPr>
          <w:rFonts w:ascii="仿宋" w:hAnsi="仿宋" w:eastAsia="仿宋"/>
          <w:sz w:val="32"/>
          <w:szCs w:val="32"/>
          <w:shd w:val="clear" w:color="auto" w:fill="FFFFFF"/>
        </w:rPr>
        <w:t>无重大违法记录、</w:t>
      </w:r>
      <w:r>
        <w:rPr>
          <w:rFonts w:ascii="仿宋" w:hAnsi="仿宋" w:eastAsia="仿宋"/>
          <w:sz w:val="32"/>
          <w:szCs w:val="32"/>
        </w:rPr>
        <w:t>重大安全事故和失信行为。</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黑体" w:hAnsi="黑体" w:eastAsia="黑体" w:cs="黑体"/>
          <w:sz w:val="32"/>
          <w:szCs w:val="32"/>
        </w:rPr>
        <w:t>第</w:t>
      </w:r>
      <w:r>
        <w:rPr>
          <w:rFonts w:hint="eastAsia" w:ascii="黑体" w:hAnsi="黑体" w:eastAsia="黑体" w:cs="黑体"/>
          <w:sz w:val="32"/>
          <w:szCs w:val="32"/>
        </w:rPr>
        <w:t>九</w:t>
      </w:r>
      <w:r>
        <w:rPr>
          <w:rFonts w:ascii="黑体" w:hAnsi="黑体" w:eastAsia="黑体" w:cs="黑体"/>
          <w:sz w:val="32"/>
          <w:szCs w:val="32"/>
        </w:rPr>
        <w:t>条</w:t>
      </w:r>
      <w:r>
        <w:rPr>
          <w:rFonts w:hint="eastAsia" w:ascii="仿宋" w:hAnsi="仿宋" w:eastAsia="仿宋"/>
          <w:sz w:val="32"/>
          <w:szCs w:val="32"/>
          <w:shd w:val="clear" w:color="auto" w:fill="FFFFFF"/>
        </w:rPr>
        <w:t xml:space="preserve"> </w:t>
      </w:r>
      <w:r>
        <w:rPr>
          <w:rFonts w:ascii="仿宋" w:hAnsi="仿宋" w:eastAsia="仿宋"/>
          <w:sz w:val="32"/>
          <w:szCs w:val="32"/>
          <w:shd w:val="clear" w:color="auto" w:fill="FFFFFF"/>
        </w:rPr>
        <w:t>“瞪羚企业”的认定，须同时满足“规模效益指标”和“创新门槛指标”：</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（一）规模效益指标</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shd w:val="clear" w:color="auto" w:fill="FFFFFF"/>
        </w:rPr>
        <w:t>入选需满足以下条件之一：</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hint="eastAsia" w:ascii="仿宋" w:hAnsi="仿宋" w:eastAsia="仿宋" w:cs="宋体"/>
          <w:sz w:val="32"/>
          <w:szCs w:val="32"/>
          <w:shd w:val="clear" w:color="auto" w:fill="FFFFFF"/>
        </w:rPr>
        <w:t>Ⅰ</w:t>
      </w:r>
      <w:r>
        <w:rPr>
          <w:rFonts w:ascii="仿宋" w:hAnsi="仿宋" w:eastAsia="仿宋"/>
          <w:sz w:val="32"/>
          <w:szCs w:val="32"/>
          <w:shd w:val="clear" w:color="auto" w:fill="FFFFFF"/>
        </w:rPr>
        <w:t>：企业成立时间不超过15年，近四年第一年营业收入1000万元</w:t>
      </w:r>
      <w:r>
        <w:rPr>
          <w:rFonts w:hint="eastAsia" w:ascii="仿宋" w:hAnsi="仿宋" w:eastAsia="仿宋"/>
          <w:sz w:val="32"/>
          <w:szCs w:val="32"/>
          <w:shd w:val="clear" w:color="auto" w:fill="FFFFFF"/>
        </w:rPr>
        <w:t>以上</w:t>
      </w:r>
      <w:r>
        <w:rPr>
          <w:rFonts w:ascii="仿宋" w:hAnsi="仿宋" w:eastAsia="仿宋"/>
          <w:sz w:val="32"/>
          <w:szCs w:val="32"/>
          <w:shd w:val="clear" w:color="auto" w:fill="FFFFFF"/>
        </w:rPr>
        <w:t>且四年复合增长率20%</w:t>
      </w:r>
      <w:r>
        <w:rPr>
          <w:rFonts w:hint="eastAsia" w:ascii="仿宋" w:hAnsi="仿宋" w:eastAsia="仿宋"/>
          <w:sz w:val="32"/>
          <w:szCs w:val="32"/>
          <w:shd w:val="clear" w:color="auto" w:fill="FFFFFF"/>
        </w:rPr>
        <w:t>以上</w:t>
      </w:r>
      <w:r>
        <w:rPr>
          <w:rFonts w:ascii="仿宋" w:hAnsi="仿宋" w:eastAsia="仿宋"/>
          <w:sz w:val="32"/>
          <w:szCs w:val="32"/>
          <w:shd w:val="clear" w:color="auto" w:fill="FFFFFF"/>
        </w:rPr>
        <w:t>，且上一年度年正增长；</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hint="eastAsia" w:ascii="仿宋" w:hAnsi="仿宋" w:eastAsia="仿宋" w:cs="宋体"/>
          <w:sz w:val="32"/>
          <w:szCs w:val="32"/>
          <w:shd w:val="clear" w:color="auto" w:fill="FFFFFF"/>
        </w:rPr>
        <w:t>Ⅱ</w:t>
      </w:r>
      <w:r>
        <w:rPr>
          <w:rFonts w:ascii="仿宋" w:hAnsi="仿宋" w:eastAsia="仿宋"/>
          <w:sz w:val="32"/>
          <w:szCs w:val="32"/>
          <w:shd w:val="clear" w:color="auto" w:fill="FFFFFF"/>
        </w:rPr>
        <w:t>：企业成立时间不超过15年，近四年每年雇员总数100人</w:t>
      </w:r>
      <w:r>
        <w:rPr>
          <w:rFonts w:hint="eastAsia" w:ascii="仿宋" w:hAnsi="仿宋" w:eastAsia="仿宋"/>
          <w:sz w:val="32"/>
          <w:szCs w:val="32"/>
          <w:shd w:val="clear" w:color="auto" w:fill="FFFFFF"/>
        </w:rPr>
        <w:t>以上</w:t>
      </w:r>
      <w:r>
        <w:rPr>
          <w:rFonts w:ascii="仿宋" w:hAnsi="仿宋" w:eastAsia="仿宋"/>
          <w:sz w:val="32"/>
          <w:szCs w:val="32"/>
          <w:shd w:val="clear" w:color="auto" w:fill="FFFFFF"/>
        </w:rPr>
        <w:t>且复合增长率30%</w:t>
      </w:r>
      <w:r>
        <w:rPr>
          <w:rFonts w:hint="eastAsia" w:ascii="仿宋" w:hAnsi="仿宋" w:eastAsia="仿宋"/>
          <w:sz w:val="32"/>
          <w:szCs w:val="32"/>
          <w:shd w:val="clear" w:color="auto" w:fill="FFFFFF"/>
        </w:rPr>
        <w:t>以上</w:t>
      </w:r>
      <w:r>
        <w:rPr>
          <w:rFonts w:ascii="仿宋" w:hAnsi="仿宋" w:eastAsia="仿宋"/>
          <w:sz w:val="32"/>
          <w:szCs w:val="32"/>
          <w:shd w:val="clear" w:color="auto" w:fill="FFFFFF"/>
        </w:rPr>
        <w:t>，且上一年度正增长；</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hint="eastAsia" w:ascii="仿宋" w:hAnsi="仿宋" w:eastAsia="仿宋" w:cs="宋体"/>
          <w:sz w:val="32"/>
          <w:szCs w:val="32"/>
          <w:shd w:val="clear" w:color="auto" w:fill="FFFFFF"/>
        </w:rPr>
        <w:t>Ⅲ</w:t>
      </w:r>
      <w:r>
        <w:rPr>
          <w:rFonts w:ascii="仿宋" w:hAnsi="仿宋" w:eastAsia="仿宋"/>
          <w:sz w:val="32"/>
          <w:szCs w:val="32"/>
          <w:shd w:val="clear" w:color="auto" w:fill="FFFFFF"/>
        </w:rPr>
        <w:t>：企业成立时间不超过5年，且上一年度营业收入5亿元</w:t>
      </w:r>
      <w:r>
        <w:rPr>
          <w:rFonts w:hint="eastAsia" w:ascii="仿宋" w:hAnsi="仿宋" w:eastAsia="仿宋"/>
          <w:sz w:val="32"/>
          <w:szCs w:val="32"/>
          <w:shd w:val="clear" w:color="auto" w:fill="FFFFFF"/>
        </w:rPr>
        <w:t>以上</w:t>
      </w:r>
      <w:r>
        <w:rPr>
          <w:rFonts w:ascii="仿宋" w:hAnsi="仿宋" w:eastAsia="仿宋"/>
          <w:sz w:val="32"/>
          <w:szCs w:val="32"/>
          <w:shd w:val="clear" w:color="auto" w:fill="FFFFFF"/>
        </w:rPr>
        <w:t>，且近三年营业收入无大幅度下降（下降比例不超过10%）；</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hint="eastAsia" w:ascii="仿宋" w:hAnsi="仿宋" w:eastAsia="仿宋" w:cs="宋体"/>
          <w:sz w:val="32"/>
          <w:szCs w:val="32"/>
          <w:shd w:val="clear" w:color="auto" w:fill="FFFFFF"/>
        </w:rPr>
        <w:t>Ⅳ</w:t>
      </w:r>
      <w:r>
        <w:rPr>
          <w:rFonts w:ascii="仿宋" w:hAnsi="仿宋" w:eastAsia="仿宋"/>
          <w:sz w:val="32"/>
          <w:szCs w:val="32"/>
          <w:shd w:val="clear" w:color="auto" w:fill="FFFFFF"/>
        </w:rPr>
        <w:t>：企业成立时间不超过10年，且上一年度营业收入10亿元</w:t>
      </w:r>
      <w:r>
        <w:rPr>
          <w:rFonts w:hint="eastAsia" w:ascii="仿宋" w:hAnsi="仿宋" w:eastAsia="仿宋"/>
          <w:sz w:val="32"/>
          <w:szCs w:val="32"/>
          <w:shd w:val="clear" w:color="auto" w:fill="FFFFFF"/>
        </w:rPr>
        <w:t>以上</w:t>
      </w:r>
      <w:r>
        <w:rPr>
          <w:rFonts w:ascii="仿宋" w:hAnsi="仿宋" w:eastAsia="仿宋"/>
          <w:sz w:val="32"/>
          <w:szCs w:val="32"/>
          <w:shd w:val="clear" w:color="auto" w:fill="FFFFFF"/>
        </w:rPr>
        <w:t>，且近三年营业收入无大幅度下降（下降比例不超过10%）。</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（二）创新门槛指标</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shd w:val="clear" w:color="auto" w:fill="FFFFFF"/>
        </w:rPr>
        <w:t>近四年平均研发投入强度（四年研发投入总和/四年营业收入总和）达到2.5%。</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p>
    <w:p>
      <w:pPr>
        <w:keepNext w:val="0"/>
        <w:keepLines w:val="0"/>
        <w:pageBreakBefore w:val="0"/>
        <w:kinsoku/>
        <w:wordWrap/>
        <w:overflowPunct/>
        <w:topLinePunct w:val="0"/>
        <w:autoSpaceDN/>
        <w:bidi w:val="0"/>
        <w:spacing w:line="560" w:lineRule="exact"/>
        <w:jc w:val="center"/>
        <w:textAlignment w:val="auto"/>
        <w:rPr>
          <w:rFonts w:ascii="黑体" w:hAnsi="黑体" w:eastAsia="黑体" w:cs="黑体"/>
          <w:sz w:val="32"/>
          <w:szCs w:val="32"/>
        </w:rPr>
      </w:pPr>
      <w:r>
        <w:rPr>
          <w:rFonts w:ascii="黑体" w:hAnsi="黑体" w:eastAsia="黑体" w:cs="黑体"/>
          <w:sz w:val="32"/>
          <w:szCs w:val="32"/>
        </w:rPr>
        <w:t>第四章 认定程序及资助政策</w:t>
      </w:r>
    </w:p>
    <w:p>
      <w:pPr>
        <w:keepNext w:val="0"/>
        <w:keepLines w:val="0"/>
        <w:pageBreakBefore w:val="0"/>
        <w:kinsoku/>
        <w:wordWrap/>
        <w:overflowPunct/>
        <w:topLinePunct w:val="0"/>
        <w:autoSpaceDN/>
        <w:bidi w:val="0"/>
        <w:spacing w:line="560" w:lineRule="exact"/>
        <w:jc w:val="center"/>
        <w:textAlignment w:val="auto"/>
        <w:rPr>
          <w:rFonts w:ascii="仿宋" w:hAnsi="仿宋" w:eastAsia="仿宋"/>
          <w:sz w:val="32"/>
          <w:szCs w:val="32"/>
        </w:rPr>
      </w:pP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第十条</w:t>
      </w:r>
      <w:r>
        <w:rPr>
          <w:rFonts w:ascii="仿宋" w:hAnsi="仿宋" w:eastAsia="仿宋"/>
          <w:sz w:val="32"/>
          <w:szCs w:val="32"/>
          <w:lang w:bidi="ar"/>
        </w:rPr>
        <w:t xml:space="preserve"> 佛山高新区管委会根据工作计划和目标，按照“申报、评审、审议、公示和公布”流程，开展瞪羚企业认定工作。</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（一）申报</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ascii="仿宋" w:hAnsi="仿宋" w:eastAsia="仿宋"/>
          <w:sz w:val="32"/>
          <w:szCs w:val="32"/>
          <w:lang w:bidi="ar"/>
        </w:rPr>
      </w:pPr>
      <w:r>
        <w:rPr>
          <w:rFonts w:ascii="仿宋" w:hAnsi="仿宋" w:eastAsia="仿宋"/>
          <w:sz w:val="32"/>
          <w:szCs w:val="32"/>
          <w:lang w:bidi="ar"/>
        </w:rPr>
        <w:t>1.科技创新局编制申报指南</w:t>
      </w:r>
      <w:r>
        <w:rPr>
          <w:rFonts w:hint="eastAsia" w:ascii="仿宋" w:hAnsi="仿宋" w:eastAsia="仿宋"/>
          <w:sz w:val="32"/>
          <w:szCs w:val="32"/>
          <w:lang w:bidi="ar"/>
        </w:rPr>
        <w:t>和</w:t>
      </w:r>
      <w:r>
        <w:rPr>
          <w:rFonts w:ascii="仿宋" w:hAnsi="仿宋" w:eastAsia="仿宋"/>
          <w:sz w:val="32"/>
          <w:szCs w:val="32"/>
          <w:lang w:bidi="ar"/>
        </w:rPr>
        <w:t>通知，明确项目支持对象、组织形式、申报要求、申报时间、申报流程、材料要求等内容，申报指南和通知在“佛山扶持通”进行发布。</w:t>
      </w:r>
    </w:p>
    <w:p>
      <w:pPr>
        <w:keepNext w:val="0"/>
        <w:keepLines w:val="0"/>
        <w:pageBreakBefore w:val="0"/>
        <w:kinsoku/>
        <w:wordWrap/>
        <w:overflowPunct/>
        <w:topLinePunct w:val="0"/>
        <w:autoSpaceDE w:val="0"/>
        <w:autoSpaceDN/>
        <w:bidi w:val="0"/>
        <w:spacing w:line="560" w:lineRule="exact"/>
        <w:ind w:firstLine="640" w:firstLineChars="200"/>
        <w:textAlignment w:val="auto"/>
        <w:rPr>
          <w:rFonts w:ascii="仿宋" w:hAnsi="仿宋" w:eastAsia="仿宋"/>
          <w:sz w:val="32"/>
          <w:szCs w:val="32"/>
          <w:lang w:bidi="ar"/>
        </w:rPr>
      </w:pPr>
      <w:r>
        <w:rPr>
          <w:rFonts w:ascii="仿宋" w:hAnsi="仿宋" w:eastAsia="仿宋"/>
          <w:sz w:val="32"/>
          <w:szCs w:val="32"/>
          <w:lang w:bidi="ar"/>
        </w:rPr>
        <w:t>2.申报单位登陆“佛山扶持通”，按照当年度发布的申报指南</w:t>
      </w:r>
      <w:r>
        <w:rPr>
          <w:rFonts w:hint="eastAsia" w:ascii="仿宋" w:hAnsi="仿宋" w:eastAsia="仿宋"/>
          <w:sz w:val="32"/>
          <w:szCs w:val="32"/>
          <w:lang w:bidi="ar"/>
        </w:rPr>
        <w:t>和</w:t>
      </w:r>
      <w:r>
        <w:rPr>
          <w:rFonts w:ascii="仿宋" w:hAnsi="仿宋" w:eastAsia="仿宋"/>
          <w:sz w:val="32"/>
          <w:szCs w:val="32"/>
          <w:lang w:bidi="ar"/>
        </w:rPr>
        <w:t>通知要求在线填写申请表，并上传相关材料和附件。</w:t>
      </w:r>
      <w:r>
        <w:rPr>
          <w:rFonts w:ascii="仿宋" w:hAnsi="仿宋" w:eastAsia="仿宋"/>
          <w:iCs/>
          <w:sz w:val="32"/>
          <w:szCs w:val="32"/>
          <w:shd w:val="clear" w:color="auto" w:fill="FFFFFF"/>
          <w:lang w:bidi="ar"/>
        </w:rPr>
        <w:t>各</w:t>
      </w:r>
      <w:r>
        <w:rPr>
          <w:rFonts w:hint="eastAsia" w:ascii="仿宋" w:hAnsi="仿宋" w:eastAsia="仿宋"/>
          <w:iCs/>
          <w:sz w:val="32"/>
          <w:szCs w:val="32"/>
          <w:shd w:val="clear" w:color="auto" w:fill="FFFFFF"/>
          <w:lang w:bidi="ar"/>
        </w:rPr>
        <w:t>园</w:t>
      </w:r>
      <w:r>
        <w:rPr>
          <w:rFonts w:ascii="仿宋" w:hAnsi="仿宋" w:eastAsia="仿宋"/>
          <w:iCs/>
          <w:sz w:val="32"/>
          <w:szCs w:val="32"/>
          <w:shd w:val="clear" w:color="auto" w:fill="FFFFFF"/>
          <w:lang w:bidi="ar"/>
        </w:rPr>
        <w:t>管理局对申报材料进行</w:t>
      </w:r>
      <w:r>
        <w:rPr>
          <w:rFonts w:ascii="仿宋" w:hAnsi="仿宋" w:eastAsia="仿宋"/>
          <w:sz w:val="32"/>
          <w:szCs w:val="32"/>
          <w:lang w:bidi="ar"/>
        </w:rPr>
        <w:t>初审。初审通过后，申报单位按要求提交纸质材料。</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仿宋" w:hAnsi="仿宋" w:eastAsia="仿宋"/>
          <w:sz w:val="32"/>
          <w:szCs w:val="32"/>
          <w:lang w:bidi="ar"/>
        </w:rPr>
        <w:t>3.申报材料包括但不限于以下内容：</w:t>
      </w:r>
      <w:r>
        <w:rPr>
          <w:rFonts w:ascii="仿宋" w:hAnsi="仿宋" w:eastAsia="仿宋"/>
          <w:sz w:val="32"/>
          <w:szCs w:val="32"/>
        </w:rPr>
        <w:t>（1）</w:t>
      </w:r>
      <w:r>
        <w:rPr>
          <w:rFonts w:hint="eastAsia" w:ascii="仿宋" w:hAnsi="仿宋" w:eastAsia="仿宋"/>
          <w:sz w:val="32"/>
          <w:szCs w:val="32"/>
        </w:rPr>
        <w:t>申报书</w:t>
      </w:r>
      <w:r>
        <w:rPr>
          <w:rFonts w:ascii="仿宋" w:hAnsi="仿宋" w:eastAsia="仿宋"/>
          <w:sz w:val="32"/>
          <w:szCs w:val="32"/>
        </w:rPr>
        <w:t>；（2）企业营业执照；（3）经审计的企业近4年财务审计报告或相应社保人数</w:t>
      </w:r>
      <w:r>
        <w:rPr>
          <w:rFonts w:hint="eastAsia" w:ascii="仿宋" w:hAnsi="仿宋" w:eastAsia="仿宋"/>
          <w:sz w:val="32"/>
          <w:szCs w:val="32"/>
        </w:rPr>
        <w:t>相关材料</w:t>
      </w:r>
      <w:r>
        <w:rPr>
          <w:rFonts w:ascii="仿宋" w:hAnsi="仿宋" w:eastAsia="仿宋"/>
          <w:sz w:val="32"/>
          <w:szCs w:val="32"/>
        </w:rPr>
        <w:t>；（4）</w:t>
      </w:r>
      <w:r>
        <w:rPr>
          <w:rFonts w:hint="eastAsia" w:ascii="仿宋" w:hAnsi="仿宋" w:eastAsia="仿宋"/>
          <w:sz w:val="32"/>
          <w:szCs w:val="32"/>
        </w:rPr>
        <w:t>经有资质的第三方服务机构出具的</w:t>
      </w:r>
      <w:r>
        <w:rPr>
          <w:rFonts w:ascii="仿宋" w:hAnsi="仿宋" w:eastAsia="仿宋"/>
          <w:sz w:val="32"/>
          <w:szCs w:val="32"/>
        </w:rPr>
        <w:t>企业近4年研发费用</w:t>
      </w:r>
      <w:r>
        <w:rPr>
          <w:rFonts w:hint="eastAsia" w:ascii="仿宋" w:hAnsi="仿宋" w:eastAsia="仿宋"/>
          <w:sz w:val="32"/>
          <w:szCs w:val="32"/>
        </w:rPr>
        <w:t>相关</w:t>
      </w:r>
      <w:r>
        <w:rPr>
          <w:rFonts w:ascii="仿宋" w:hAnsi="仿宋" w:eastAsia="仿宋"/>
          <w:sz w:val="32"/>
          <w:szCs w:val="32"/>
        </w:rPr>
        <w:t>材料；（5）</w:t>
      </w:r>
      <w:r>
        <w:rPr>
          <w:rFonts w:hint="eastAsia" w:ascii="仿宋" w:hAnsi="仿宋" w:eastAsia="仿宋"/>
          <w:sz w:val="32"/>
          <w:szCs w:val="32"/>
        </w:rPr>
        <w:t>信息采集表</w:t>
      </w:r>
      <w:r>
        <w:rPr>
          <w:rFonts w:ascii="仿宋" w:hAnsi="仿宋" w:eastAsia="仿宋"/>
          <w:sz w:val="32"/>
          <w:szCs w:val="32"/>
        </w:rPr>
        <w:t>；（6）</w:t>
      </w:r>
      <w:r>
        <w:rPr>
          <w:rFonts w:hint="eastAsia" w:ascii="仿宋" w:hAnsi="仿宋" w:eastAsia="仿宋"/>
          <w:sz w:val="32"/>
          <w:szCs w:val="32"/>
        </w:rPr>
        <w:t>申请</w:t>
      </w:r>
      <w:r>
        <w:rPr>
          <w:rFonts w:ascii="仿宋" w:hAnsi="仿宋" w:eastAsia="仿宋"/>
          <w:sz w:val="32"/>
          <w:szCs w:val="32"/>
        </w:rPr>
        <w:t>承诺书。</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（二）评审</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lang w:bidi="ar"/>
        </w:rPr>
      </w:pPr>
      <w:r>
        <w:rPr>
          <w:rFonts w:ascii="仿宋" w:hAnsi="仿宋" w:eastAsia="仿宋"/>
          <w:sz w:val="32"/>
          <w:szCs w:val="32"/>
          <w:lang w:bidi="ar"/>
        </w:rPr>
        <w:t>科技创新局或受托第三方</w:t>
      </w:r>
      <w:r>
        <w:rPr>
          <w:rFonts w:hint="eastAsia" w:ascii="仿宋" w:hAnsi="仿宋" w:eastAsia="仿宋"/>
          <w:sz w:val="32"/>
          <w:szCs w:val="32"/>
          <w:lang w:bidi="ar"/>
        </w:rPr>
        <w:t>服务</w:t>
      </w:r>
      <w:r>
        <w:rPr>
          <w:rFonts w:ascii="仿宋" w:hAnsi="仿宋" w:eastAsia="仿宋"/>
          <w:sz w:val="32"/>
          <w:szCs w:val="32"/>
          <w:lang w:bidi="ar"/>
        </w:rPr>
        <w:t>机构进行项目评审，经线上和线下书面评审程序，形成佛山高新区瞪羚企业推荐名单。</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（三）审议</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lang w:bidi="ar"/>
        </w:rPr>
      </w:pPr>
      <w:r>
        <w:rPr>
          <w:rFonts w:ascii="仿宋" w:hAnsi="仿宋" w:eastAsia="仿宋"/>
          <w:sz w:val="32"/>
          <w:szCs w:val="32"/>
          <w:lang w:bidi="ar"/>
        </w:rPr>
        <w:t>推荐名单经佛山高新区管委会主任办公会议讨论研究后，形成拟认定名单。</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（四）公示</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lang w:bidi="ar"/>
        </w:rPr>
      </w:pPr>
      <w:r>
        <w:rPr>
          <w:rFonts w:ascii="仿宋" w:hAnsi="仿宋" w:eastAsia="仿宋"/>
          <w:sz w:val="32"/>
          <w:szCs w:val="32"/>
          <w:lang w:bidi="ar"/>
        </w:rPr>
        <w:t>科技创新局将拟认定名单在“佛山扶持通”进行公示，公示期为不低于5个工作日。公示期内接到相关异议的，由各</w:t>
      </w:r>
      <w:r>
        <w:rPr>
          <w:rFonts w:hint="eastAsia" w:ascii="仿宋" w:hAnsi="仿宋" w:eastAsia="仿宋"/>
          <w:sz w:val="32"/>
          <w:szCs w:val="32"/>
          <w:lang w:bidi="ar"/>
        </w:rPr>
        <w:t>园</w:t>
      </w:r>
      <w:r>
        <w:rPr>
          <w:rFonts w:ascii="仿宋" w:hAnsi="仿宋" w:eastAsia="仿宋"/>
          <w:sz w:val="32"/>
          <w:szCs w:val="32"/>
          <w:lang w:bidi="ar"/>
        </w:rPr>
        <w:t>管理局配合</w:t>
      </w:r>
      <w:r>
        <w:rPr>
          <w:rFonts w:ascii="仿宋" w:hAnsi="仿宋" w:eastAsia="仿宋"/>
          <w:sz w:val="32"/>
          <w:szCs w:val="32"/>
        </w:rPr>
        <w:t>科技创新局</w:t>
      </w:r>
      <w:r>
        <w:rPr>
          <w:rFonts w:ascii="仿宋" w:hAnsi="仿宋" w:eastAsia="仿宋"/>
          <w:sz w:val="32"/>
          <w:szCs w:val="32"/>
          <w:lang w:bidi="ar"/>
        </w:rPr>
        <w:t>调查核实并提出处理意见，</w:t>
      </w:r>
      <w:r>
        <w:rPr>
          <w:rFonts w:ascii="仿宋" w:hAnsi="仿宋" w:eastAsia="仿宋"/>
          <w:sz w:val="32"/>
          <w:szCs w:val="32"/>
        </w:rPr>
        <w:t>处理意见报佛山高新区管委会主任办公会议审议。</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（五）公布</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lang w:bidi="ar"/>
        </w:rPr>
      </w:pPr>
      <w:r>
        <w:rPr>
          <w:rFonts w:hint="eastAsia" w:ascii="仿宋" w:hAnsi="仿宋" w:eastAsia="仿宋"/>
          <w:sz w:val="32"/>
          <w:szCs w:val="32"/>
          <w:lang w:bidi="ar"/>
        </w:rPr>
        <w:t>公示无异议或异议不成立的，</w:t>
      </w:r>
      <w:r>
        <w:rPr>
          <w:rFonts w:ascii="仿宋" w:hAnsi="仿宋" w:eastAsia="仿宋"/>
          <w:sz w:val="32"/>
          <w:szCs w:val="32"/>
          <w:lang w:bidi="ar"/>
        </w:rPr>
        <w:t>认定名单在“佛山扶持通”对外公开发布。</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lang w:bidi="ar"/>
        </w:rPr>
      </w:pPr>
      <w:r>
        <w:rPr>
          <w:rFonts w:ascii="黑体" w:hAnsi="黑体" w:eastAsia="黑体" w:cs="黑体"/>
          <w:sz w:val="32"/>
          <w:szCs w:val="32"/>
        </w:rPr>
        <w:t>第十</w:t>
      </w:r>
      <w:r>
        <w:rPr>
          <w:rFonts w:hint="eastAsia" w:ascii="黑体" w:hAnsi="黑体" w:eastAsia="黑体" w:cs="黑体"/>
          <w:sz w:val="32"/>
          <w:szCs w:val="32"/>
        </w:rPr>
        <w:t>一</w:t>
      </w:r>
      <w:r>
        <w:rPr>
          <w:rFonts w:ascii="黑体" w:hAnsi="黑体" w:eastAsia="黑体" w:cs="黑体"/>
          <w:sz w:val="32"/>
          <w:szCs w:val="32"/>
        </w:rPr>
        <w:t>条</w:t>
      </w:r>
      <w:r>
        <w:rPr>
          <w:rFonts w:ascii="仿宋" w:hAnsi="仿宋" w:eastAsia="仿宋"/>
          <w:sz w:val="32"/>
          <w:szCs w:val="32"/>
          <w:lang w:bidi="ar"/>
        </w:rPr>
        <w:t xml:space="preserve"> 佛山高新区瞪羚企业扶持政策包括以下方面：</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（一）加强企业认定奖励</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shd w:val="clear" w:color="auto" w:fill="FFFFFF"/>
        </w:rPr>
        <w:t>对首次获得佛山高新区瞪羚企业认定的企业，给予25万元一次性资金奖励。</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（二）提升企业引智聚才</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shd w:val="clear" w:color="auto" w:fill="FFFFFF"/>
        </w:rPr>
        <w:t>对在库企业首次聘请的留学归国人员、外籍常驻人员，给予</w:t>
      </w:r>
      <w:r>
        <w:rPr>
          <w:rFonts w:hint="eastAsia" w:ascii="仿宋" w:hAnsi="仿宋" w:eastAsia="仿宋"/>
          <w:sz w:val="32"/>
          <w:szCs w:val="32"/>
          <w:shd w:val="clear" w:color="auto" w:fill="FFFFFF"/>
        </w:rPr>
        <w:t>被</w:t>
      </w:r>
      <w:r>
        <w:rPr>
          <w:rFonts w:ascii="仿宋" w:hAnsi="仿宋" w:eastAsia="仿宋"/>
          <w:sz w:val="32"/>
          <w:szCs w:val="32"/>
          <w:shd w:val="clear" w:color="auto" w:fill="FFFFFF"/>
        </w:rPr>
        <w:t>聘请人员税前年薪5%奖补，单个企业每年奖补金额最高不超过30万元。</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（三）加强企业技术创新</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shd w:val="clear" w:color="auto" w:fill="FFFFFF"/>
        </w:rPr>
        <w:t>1.对在库企业上一年度发生的可加计扣除研发费用总额的20%给予额外奖励，单个企业每年最高不超过60万元。</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shd w:val="clear" w:color="auto" w:fill="FFFFFF"/>
        </w:rPr>
        <w:t>2.鼓励符合佛山高新区产业发展方向的企业转化或应用国内外高校、科研院所的科技创新成果。对在库的成果交易受让企业给予上一年度成果交易费用10%的资金补贴，单个企业每年最高不超过20万元。</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（四）创新融资政策支持</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shd w:val="clear" w:color="auto" w:fill="FFFFFF"/>
        </w:rPr>
        <w:t>1.鼓励瞪羚企业拓宽融资方式，促进企业获得风险投资，按在库企业上一年度获得融资额的3%给予风险投资机构奖励，单个风险投资项目扶持资金总额不超过30万元；对获得风险投资的在库企业，按企业上一年度获得融资额的5%给予奖励，单个风险投资项目扶持资金总额不超过50万元，单个企业</w:t>
      </w:r>
      <w:r>
        <w:rPr>
          <w:rFonts w:hint="eastAsia" w:ascii="仿宋" w:hAnsi="仿宋" w:eastAsia="仿宋"/>
          <w:sz w:val="32"/>
          <w:szCs w:val="32"/>
          <w:shd w:val="clear" w:color="auto" w:fill="FFFFFF"/>
        </w:rPr>
        <w:t>每年</w:t>
      </w:r>
      <w:r>
        <w:rPr>
          <w:rFonts w:ascii="仿宋" w:hAnsi="仿宋" w:eastAsia="仿宋"/>
          <w:sz w:val="32"/>
          <w:szCs w:val="32"/>
          <w:shd w:val="clear" w:color="auto" w:fill="FFFFFF"/>
        </w:rPr>
        <w:t>扶持资金总额不超过100万元。</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shd w:val="clear" w:color="auto" w:fill="FFFFFF"/>
        </w:rPr>
        <w:t>2.设立企业融资专项资金，用以企业融资补贴。对在库企业上一年度银行贷款予以贴息支持，补贴金额为企业上一年度支付银行贷款利息总额的30%，单个企业每年最高不超过30万元。</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（五）搭建瞪羚俱乐部</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r>
        <w:rPr>
          <w:rFonts w:ascii="仿宋" w:hAnsi="仿宋" w:eastAsia="仿宋"/>
          <w:sz w:val="32"/>
          <w:szCs w:val="32"/>
        </w:rPr>
        <w:t>定期举办不同主题的“瞪羚俱乐部”交流会，以科技创新、金融、管理等为主题，对接国内外知名专家、企业领袖，增加瞪羚企业与高端创新资源之间的交流合作。</w:t>
      </w:r>
    </w:p>
    <w:p>
      <w:pPr>
        <w:keepNext w:val="0"/>
        <w:keepLines w:val="0"/>
        <w:pageBreakBefore w:val="0"/>
        <w:kinsoku/>
        <w:wordWrap/>
        <w:overflowPunct/>
        <w:topLinePunct w:val="0"/>
        <w:autoSpaceDN/>
        <w:bidi w:val="0"/>
        <w:spacing w:line="560" w:lineRule="exact"/>
        <w:ind w:firstLine="643" w:firstLineChars="200"/>
        <w:textAlignment w:val="auto"/>
        <w:rPr>
          <w:rFonts w:ascii="楷体" w:hAnsi="楷体" w:eastAsia="楷体"/>
          <w:b/>
          <w:bCs/>
          <w:sz w:val="32"/>
          <w:szCs w:val="32"/>
        </w:rPr>
      </w:pPr>
      <w:r>
        <w:rPr>
          <w:rFonts w:ascii="楷体" w:hAnsi="楷体" w:eastAsia="楷体"/>
          <w:b/>
          <w:bCs/>
          <w:sz w:val="32"/>
          <w:szCs w:val="32"/>
        </w:rPr>
        <w:t>（六）促进企业加强外部交流</w:t>
      </w: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加强对接国际先进理念与技术，每年组织一期瞪羚企业高层管理人员学习交流会，到国内外知名企业、创新服务机构等学习借鉴其经营理念、管理模式以及技术创新经验，学习交流活动涉及的培训费、交通费、住宿费等相关费用由</w:t>
      </w:r>
      <w:r>
        <w:rPr>
          <w:rFonts w:hint="eastAsia" w:ascii="仿宋" w:hAnsi="仿宋" w:eastAsia="仿宋"/>
          <w:sz w:val="32"/>
          <w:szCs w:val="32"/>
          <w:shd w:val="clear" w:color="auto" w:fill="FFFFFF"/>
        </w:rPr>
        <w:t>佛山高新区管委会</w:t>
      </w:r>
      <w:r>
        <w:rPr>
          <w:rFonts w:ascii="仿宋" w:hAnsi="仿宋" w:eastAsia="仿宋"/>
          <w:sz w:val="32"/>
          <w:szCs w:val="32"/>
        </w:rPr>
        <w:t>承担。</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lang w:bidi="ar"/>
        </w:rPr>
      </w:pPr>
      <w:r>
        <w:rPr>
          <w:rFonts w:ascii="黑体" w:hAnsi="黑体" w:eastAsia="黑体" w:cs="黑体"/>
          <w:sz w:val="32"/>
          <w:szCs w:val="32"/>
        </w:rPr>
        <w:t>第十</w:t>
      </w:r>
      <w:r>
        <w:rPr>
          <w:rFonts w:hint="eastAsia" w:ascii="黑体" w:hAnsi="黑体" w:eastAsia="黑体" w:cs="黑体"/>
          <w:sz w:val="32"/>
          <w:szCs w:val="32"/>
        </w:rPr>
        <w:t>二</w:t>
      </w:r>
      <w:r>
        <w:rPr>
          <w:rFonts w:ascii="黑体" w:hAnsi="黑体" w:eastAsia="黑体" w:cs="黑体"/>
          <w:sz w:val="32"/>
          <w:szCs w:val="32"/>
        </w:rPr>
        <w:t>条</w:t>
      </w:r>
      <w:r>
        <w:rPr>
          <w:rFonts w:ascii="仿宋" w:hAnsi="仿宋" w:eastAsia="仿宋"/>
          <w:sz w:val="32"/>
          <w:szCs w:val="32"/>
        </w:rPr>
        <w:t xml:space="preserve"> </w:t>
      </w:r>
      <w:r>
        <w:rPr>
          <w:rFonts w:ascii="仿宋" w:hAnsi="仿宋" w:eastAsia="仿宋"/>
          <w:sz w:val="32"/>
          <w:szCs w:val="32"/>
          <w:lang w:bidi="ar"/>
        </w:rPr>
        <w:t>鼓励各</w:t>
      </w:r>
      <w:r>
        <w:rPr>
          <w:rFonts w:hint="eastAsia" w:ascii="仿宋" w:hAnsi="仿宋" w:eastAsia="仿宋"/>
          <w:sz w:val="32"/>
          <w:szCs w:val="32"/>
          <w:lang w:bidi="ar"/>
        </w:rPr>
        <w:t>园</w:t>
      </w:r>
      <w:r>
        <w:rPr>
          <w:rFonts w:ascii="仿宋" w:hAnsi="仿宋" w:eastAsia="仿宋"/>
          <w:sz w:val="32"/>
          <w:szCs w:val="32"/>
          <w:lang w:bidi="ar"/>
        </w:rPr>
        <w:t>管理局根据实际给予配套支持。</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shd w:val="clear" w:color="auto" w:fill="FFFFFF"/>
        </w:rPr>
      </w:pPr>
    </w:p>
    <w:p>
      <w:pPr>
        <w:keepNext w:val="0"/>
        <w:keepLines w:val="0"/>
        <w:pageBreakBefore w:val="0"/>
        <w:kinsoku/>
        <w:wordWrap/>
        <w:overflowPunct/>
        <w:topLinePunct w:val="0"/>
        <w:autoSpaceDN/>
        <w:bidi w:val="0"/>
        <w:spacing w:line="560" w:lineRule="exact"/>
        <w:jc w:val="center"/>
        <w:textAlignment w:val="auto"/>
        <w:rPr>
          <w:rFonts w:ascii="黑体" w:hAnsi="黑体" w:eastAsia="黑体" w:cs="黑体"/>
          <w:sz w:val="32"/>
          <w:szCs w:val="32"/>
        </w:rPr>
      </w:pPr>
      <w:r>
        <w:rPr>
          <w:rFonts w:ascii="黑体" w:hAnsi="黑体" w:eastAsia="黑体" w:cs="黑体"/>
          <w:sz w:val="32"/>
          <w:szCs w:val="32"/>
        </w:rPr>
        <w:t>第五章 资金拨付及管理</w:t>
      </w:r>
    </w:p>
    <w:p>
      <w:pPr>
        <w:keepNext w:val="0"/>
        <w:keepLines w:val="0"/>
        <w:pageBreakBefore w:val="0"/>
        <w:kinsoku/>
        <w:wordWrap/>
        <w:overflowPunct/>
        <w:topLinePunct w:val="0"/>
        <w:autoSpaceDN/>
        <w:bidi w:val="0"/>
        <w:spacing w:line="560" w:lineRule="exact"/>
        <w:jc w:val="center"/>
        <w:textAlignment w:val="auto"/>
        <w:rPr>
          <w:rFonts w:ascii="仿宋" w:hAnsi="仿宋" w:eastAsia="仿宋"/>
          <w:sz w:val="32"/>
          <w:szCs w:val="32"/>
          <w:highlight w:val="none"/>
        </w:rPr>
      </w:pP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highlight w:val="none"/>
          <w:lang w:bidi="ar"/>
        </w:rPr>
      </w:pPr>
      <w:r>
        <w:rPr>
          <w:rFonts w:ascii="黑体" w:hAnsi="黑体" w:eastAsia="黑体" w:cs="黑体"/>
          <w:sz w:val="32"/>
          <w:szCs w:val="32"/>
          <w:highlight w:val="none"/>
        </w:rPr>
        <w:t>第十</w:t>
      </w:r>
      <w:r>
        <w:rPr>
          <w:rFonts w:hint="eastAsia" w:ascii="黑体" w:hAnsi="黑体" w:eastAsia="黑体" w:cs="黑体"/>
          <w:sz w:val="32"/>
          <w:szCs w:val="32"/>
          <w:highlight w:val="none"/>
        </w:rPr>
        <w:t>三</w:t>
      </w:r>
      <w:r>
        <w:rPr>
          <w:rFonts w:ascii="黑体" w:hAnsi="黑体" w:eastAsia="黑体" w:cs="黑体"/>
          <w:sz w:val="32"/>
          <w:szCs w:val="32"/>
          <w:highlight w:val="none"/>
        </w:rPr>
        <w:t>条</w:t>
      </w:r>
      <w:r>
        <w:rPr>
          <w:rFonts w:ascii="仿宋" w:hAnsi="仿宋" w:eastAsia="仿宋"/>
          <w:sz w:val="32"/>
          <w:szCs w:val="32"/>
          <w:highlight w:val="none"/>
        </w:rPr>
        <w:t xml:space="preserve"> </w:t>
      </w:r>
      <w:r>
        <w:rPr>
          <w:rFonts w:ascii="仿宋" w:hAnsi="仿宋" w:eastAsia="仿宋"/>
          <w:sz w:val="32"/>
          <w:szCs w:val="32"/>
          <w:highlight w:val="none"/>
          <w:lang w:bidi="ar"/>
        </w:rPr>
        <w:t>佛山高新区瞪羚企业认定</w:t>
      </w:r>
      <w:r>
        <w:rPr>
          <w:rFonts w:hint="eastAsia" w:ascii="仿宋" w:hAnsi="仿宋" w:eastAsia="仿宋"/>
          <w:sz w:val="32"/>
          <w:szCs w:val="32"/>
          <w:highlight w:val="none"/>
          <w:lang w:bidi="ar"/>
        </w:rPr>
        <w:t>名单</w:t>
      </w:r>
      <w:r>
        <w:rPr>
          <w:rFonts w:ascii="仿宋" w:hAnsi="仿宋" w:eastAsia="仿宋"/>
          <w:sz w:val="32"/>
          <w:szCs w:val="32"/>
          <w:highlight w:val="none"/>
          <w:lang w:bidi="ar"/>
        </w:rPr>
        <w:t>公布后，按照</w:t>
      </w:r>
      <w:r>
        <w:rPr>
          <w:rFonts w:hint="eastAsia" w:ascii="仿宋" w:hAnsi="仿宋" w:eastAsia="仿宋"/>
          <w:sz w:val="32"/>
          <w:szCs w:val="32"/>
          <w:highlight w:val="none"/>
          <w:lang w:bidi="ar"/>
        </w:rPr>
        <w:t>《</w:t>
      </w:r>
      <w:r>
        <w:rPr>
          <w:rFonts w:ascii="仿宋" w:hAnsi="仿宋" w:eastAsia="仿宋"/>
          <w:sz w:val="32"/>
          <w:szCs w:val="32"/>
          <w:highlight w:val="none"/>
          <w:lang w:bidi="ar"/>
        </w:rPr>
        <w:t>佛山高新</w:t>
      </w:r>
      <w:r>
        <w:rPr>
          <w:rFonts w:hint="eastAsia" w:ascii="仿宋" w:hAnsi="仿宋" w:eastAsia="仿宋"/>
          <w:sz w:val="32"/>
          <w:szCs w:val="32"/>
          <w:highlight w:val="none"/>
          <w:lang w:bidi="ar"/>
        </w:rPr>
        <w:t>技术产业开发区</w:t>
      </w:r>
      <w:r>
        <w:rPr>
          <w:rFonts w:ascii="仿宋" w:hAnsi="仿宋" w:eastAsia="仿宋"/>
          <w:sz w:val="32"/>
          <w:szCs w:val="32"/>
          <w:highlight w:val="none"/>
          <w:lang w:bidi="ar"/>
        </w:rPr>
        <w:t>财政专项经费支出管理办法</w:t>
      </w:r>
      <w:r>
        <w:rPr>
          <w:rFonts w:hint="eastAsia" w:ascii="仿宋" w:hAnsi="仿宋" w:eastAsia="仿宋"/>
          <w:sz w:val="32"/>
          <w:szCs w:val="32"/>
          <w:highlight w:val="none"/>
          <w:lang w:bidi="ar"/>
        </w:rPr>
        <w:t>》</w:t>
      </w:r>
      <w:r>
        <w:rPr>
          <w:rFonts w:ascii="仿宋" w:hAnsi="仿宋" w:eastAsia="仿宋"/>
          <w:sz w:val="32"/>
          <w:szCs w:val="32"/>
          <w:highlight w:val="none"/>
          <w:lang w:bidi="ar"/>
        </w:rPr>
        <w:t>规定审批程序，做好资金支出审批。科技创新局根据各</w:t>
      </w:r>
      <w:r>
        <w:rPr>
          <w:rFonts w:hint="eastAsia" w:ascii="仿宋" w:hAnsi="仿宋" w:eastAsia="仿宋"/>
          <w:sz w:val="32"/>
          <w:szCs w:val="32"/>
          <w:highlight w:val="none"/>
          <w:lang w:bidi="ar"/>
        </w:rPr>
        <w:t>园</w:t>
      </w:r>
      <w:r>
        <w:rPr>
          <w:rFonts w:ascii="仿宋" w:hAnsi="仿宋" w:eastAsia="仿宋"/>
          <w:sz w:val="32"/>
          <w:szCs w:val="32"/>
          <w:highlight w:val="none"/>
          <w:lang w:bidi="ar"/>
        </w:rPr>
        <w:t>管理局项目申报情况，申请划拨对应项目资助资金给各</w:t>
      </w:r>
      <w:r>
        <w:rPr>
          <w:rFonts w:hint="eastAsia" w:ascii="仿宋" w:hAnsi="仿宋" w:eastAsia="仿宋"/>
          <w:sz w:val="32"/>
          <w:szCs w:val="32"/>
          <w:highlight w:val="none"/>
          <w:lang w:bidi="ar"/>
        </w:rPr>
        <w:t>园</w:t>
      </w:r>
      <w:r>
        <w:rPr>
          <w:rFonts w:ascii="仿宋" w:hAnsi="仿宋" w:eastAsia="仿宋"/>
          <w:sz w:val="32"/>
          <w:szCs w:val="32"/>
          <w:highlight w:val="none"/>
          <w:lang w:bidi="ar"/>
        </w:rPr>
        <w:t>管理局，各</w:t>
      </w:r>
      <w:r>
        <w:rPr>
          <w:rFonts w:hint="eastAsia" w:ascii="仿宋" w:hAnsi="仿宋" w:eastAsia="仿宋"/>
          <w:sz w:val="32"/>
          <w:szCs w:val="32"/>
          <w:highlight w:val="none"/>
          <w:lang w:bidi="ar"/>
        </w:rPr>
        <w:t>园</w:t>
      </w:r>
      <w:r>
        <w:rPr>
          <w:rFonts w:ascii="仿宋" w:hAnsi="仿宋" w:eastAsia="仿宋"/>
          <w:sz w:val="32"/>
          <w:szCs w:val="32"/>
          <w:highlight w:val="none"/>
          <w:lang w:bidi="ar"/>
        </w:rPr>
        <w:t>管理局划拨资助资金及配套支持资金（如有）至项目承担单位。</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highlight w:val="none"/>
        </w:rPr>
      </w:pPr>
      <w:r>
        <w:rPr>
          <w:rFonts w:ascii="黑体" w:hAnsi="黑体" w:eastAsia="黑体" w:cs="黑体"/>
          <w:sz w:val="32"/>
          <w:szCs w:val="32"/>
          <w:highlight w:val="none"/>
        </w:rPr>
        <w:t>第十</w:t>
      </w:r>
      <w:r>
        <w:rPr>
          <w:rFonts w:hint="eastAsia" w:ascii="黑体" w:hAnsi="黑体" w:eastAsia="黑体" w:cs="黑体"/>
          <w:sz w:val="32"/>
          <w:szCs w:val="32"/>
          <w:highlight w:val="none"/>
        </w:rPr>
        <w:t>四</w:t>
      </w:r>
      <w:r>
        <w:rPr>
          <w:rFonts w:ascii="黑体" w:hAnsi="黑体" w:eastAsia="黑体" w:cs="黑体"/>
          <w:sz w:val="32"/>
          <w:szCs w:val="32"/>
          <w:highlight w:val="none"/>
        </w:rPr>
        <w:t>条</w:t>
      </w:r>
      <w:r>
        <w:rPr>
          <w:rFonts w:ascii="仿宋" w:hAnsi="仿宋" w:eastAsia="仿宋"/>
          <w:sz w:val="32"/>
          <w:szCs w:val="32"/>
          <w:highlight w:val="none"/>
        </w:rPr>
        <w:t xml:space="preserve"> </w:t>
      </w:r>
      <w:r>
        <w:rPr>
          <w:rFonts w:ascii="仿宋" w:hAnsi="仿宋" w:eastAsia="仿宋"/>
          <w:sz w:val="32"/>
          <w:szCs w:val="32"/>
          <w:highlight w:val="none"/>
          <w:lang w:bidi="ar"/>
        </w:rPr>
        <w:t>瞪羚企业认定及资助实行信息公开管理，除涉及保密要求等特殊情况不予公开之外，按照</w:t>
      </w:r>
      <w:r>
        <w:rPr>
          <w:rFonts w:hint="eastAsia" w:ascii="仿宋" w:hAnsi="仿宋" w:eastAsia="仿宋"/>
          <w:sz w:val="32"/>
          <w:szCs w:val="32"/>
          <w:highlight w:val="none"/>
          <w:lang w:bidi="ar"/>
        </w:rPr>
        <w:t>《佛山高新技术产业开发区经济发展专项资金管理办法》</w:t>
      </w:r>
      <w:r>
        <w:rPr>
          <w:rFonts w:ascii="仿宋" w:hAnsi="仿宋" w:eastAsia="仿宋"/>
          <w:sz w:val="32"/>
          <w:szCs w:val="32"/>
          <w:highlight w:val="none"/>
          <w:lang w:bidi="ar"/>
        </w:rPr>
        <w:t>的相关规定在“佛山扶持通”进行公开，主动接受社会监督。</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highlight w:val="none"/>
          <w:lang w:bidi="ar"/>
        </w:rPr>
      </w:pPr>
      <w:r>
        <w:rPr>
          <w:rFonts w:ascii="黑体" w:hAnsi="黑体" w:eastAsia="黑体" w:cs="黑体"/>
          <w:sz w:val="32"/>
          <w:szCs w:val="32"/>
          <w:highlight w:val="none"/>
        </w:rPr>
        <w:t>第十</w:t>
      </w:r>
      <w:r>
        <w:rPr>
          <w:rFonts w:hint="eastAsia" w:ascii="黑体" w:hAnsi="黑体" w:eastAsia="黑体" w:cs="黑体"/>
          <w:sz w:val="32"/>
          <w:szCs w:val="32"/>
          <w:highlight w:val="none"/>
        </w:rPr>
        <w:t>五</w:t>
      </w:r>
      <w:r>
        <w:rPr>
          <w:rFonts w:ascii="黑体" w:hAnsi="黑体" w:eastAsia="黑体" w:cs="黑体"/>
          <w:sz w:val="32"/>
          <w:szCs w:val="32"/>
          <w:highlight w:val="none"/>
        </w:rPr>
        <w:t>条</w:t>
      </w:r>
      <w:r>
        <w:rPr>
          <w:rFonts w:ascii="仿宋" w:hAnsi="仿宋" w:eastAsia="仿宋"/>
          <w:sz w:val="32"/>
          <w:szCs w:val="32"/>
          <w:highlight w:val="none"/>
        </w:rPr>
        <w:t xml:space="preserve"> </w:t>
      </w:r>
      <w:r>
        <w:rPr>
          <w:rFonts w:ascii="仿宋" w:hAnsi="仿宋" w:eastAsia="仿宋"/>
          <w:sz w:val="32"/>
          <w:szCs w:val="32"/>
          <w:highlight w:val="none"/>
          <w:lang w:bidi="ar"/>
        </w:rPr>
        <w:t>预算年度终了或预算执行完毕，由科技创新局对当年度瞪羚企业扶持资金的绩效指标完成情况和预算执行情况进行评价，形成自评报告报</w:t>
      </w:r>
      <w:r>
        <w:rPr>
          <w:rFonts w:hint="eastAsia" w:ascii="仿宋" w:hAnsi="仿宋" w:eastAsia="仿宋" w:cs="仿宋"/>
          <w:sz w:val="32"/>
          <w:szCs w:val="32"/>
          <w:highlight w:val="none"/>
          <w:lang w:bidi="ar"/>
        </w:rPr>
        <w:t>规划和财政局</w:t>
      </w:r>
      <w:r>
        <w:rPr>
          <w:rFonts w:ascii="仿宋" w:hAnsi="仿宋" w:eastAsia="仿宋"/>
          <w:sz w:val="32"/>
          <w:szCs w:val="32"/>
          <w:highlight w:val="none"/>
          <w:lang w:bidi="ar"/>
        </w:rPr>
        <w:t>备案。绩效评价具体工作参照</w:t>
      </w:r>
      <w:r>
        <w:rPr>
          <w:rFonts w:hint="eastAsia" w:ascii="仿宋" w:hAnsi="仿宋" w:eastAsia="仿宋"/>
          <w:sz w:val="32"/>
          <w:szCs w:val="32"/>
          <w:highlight w:val="none"/>
          <w:lang w:bidi="ar"/>
        </w:rPr>
        <w:t>《佛山高新技术产业开发区经济发展专项资金管理办法》</w:t>
      </w:r>
      <w:r>
        <w:rPr>
          <w:rFonts w:ascii="仿宋" w:hAnsi="仿宋" w:eastAsia="仿宋"/>
          <w:sz w:val="32"/>
          <w:szCs w:val="32"/>
          <w:highlight w:val="none"/>
          <w:lang w:bidi="ar"/>
        </w:rPr>
        <w:t>的相关规定开展。</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lang w:bidi="ar"/>
        </w:rPr>
      </w:pPr>
      <w:r>
        <w:rPr>
          <w:rFonts w:ascii="黑体" w:hAnsi="黑体" w:eastAsia="黑体" w:cs="黑体"/>
          <w:sz w:val="32"/>
          <w:szCs w:val="32"/>
          <w:highlight w:val="none"/>
        </w:rPr>
        <w:t>第</w:t>
      </w:r>
      <w:r>
        <w:rPr>
          <w:rFonts w:hint="eastAsia" w:ascii="黑体" w:hAnsi="黑体" w:eastAsia="黑体" w:cs="黑体"/>
          <w:sz w:val="32"/>
          <w:szCs w:val="32"/>
          <w:highlight w:val="none"/>
        </w:rPr>
        <w:t>十六</w:t>
      </w:r>
      <w:r>
        <w:rPr>
          <w:rFonts w:ascii="黑体" w:hAnsi="黑体" w:eastAsia="黑体" w:cs="黑体"/>
          <w:sz w:val="32"/>
          <w:szCs w:val="32"/>
          <w:highlight w:val="none"/>
        </w:rPr>
        <w:t>条</w:t>
      </w:r>
      <w:r>
        <w:rPr>
          <w:rFonts w:ascii="仿宋" w:hAnsi="仿宋" w:eastAsia="仿宋"/>
          <w:sz w:val="32"/>
          <w:szCs w:val="32"/>
          <w:highlight w:val="none"/>
        </w:rPr>
        <w:t xml:space="preserve"> </w:t>
      </w:r>
      <w:r>
        <w:rPr>
          <w:rFonts w:ascii="仿宋" w:hAnsi="仿宋" w:eastAsia="仿宋"/>
          <w:sz w:val="32"/>
          <w:szCs w:val="32"/>
          <w:highlight w:val="none"/>
          <w:lang w:bidi="ar"/>
        </w:rPr>
        <w:t>佛山高新区管委会计提专项资金总额1％的前期</w:t>
      </w:r>
      <w:r>
        <w:rPr>
          <w:rFonts w:ascii="仿宋" w:hAnsi="仿宋" w:eastAsia="仿宋"/>
          <w:sz w:val="32"/>
          <w:szCs w:val="32"/>
          <w:lang w:bidi="ar"/>
        </w:rPr>
        <w:t>工作经费（用于下一年度预算项目入库的前期论证、立项、入库评审等）及1％的事中事后工作经费（用于本年度及以前年度项目验收考评、监督检查、内部审计、绩效管理等）。有其他文件专门就工作经费作出规定的按规定执行。</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autoSpaceDN/>
        <w:bidi w:val="0"/>
        <w:spacing w:line="560" w:lineRule="exact"/>
        <w:jc w:val="center"/>
        <w:textAlignment w:val="auto"/>
        <w:rPr>
          <w:rFonts w:ascii="黑体" w:hAnsi="黑体" w:eastAsia="黑体" w:cs="黑体"/>
          <w:sz w:val="32"/>
          <w:szCs w:val="32"/>
        </w:rPr>
      </w:pPr>
      <w:r>
        <w:rPr>
          <w:rFonts w:ascii="黑体" w:hAnsi="黑体" w:eastAsia="黑体" w:cs="黑体"/>
          <w:sz w:val="32"/>
          <w:szCs w:val="32"/>
        </w:rPr>
        <w:t>第六章 责任追究</w:t>
      </w:r>
    </w:p>
    <w:p>
      <w:pPr>
        <w:keepNext w:val="0"/>
        <w:keepLines w:val="0"/>
        <w:pageBreakBefore w:val="0"/>
        <w:kinsoku/>
        <w:wordWrap/>
        <w:overflowPunct/>
        <w:topLinePunct w:val="0"/>
        <w:autoSpaceDN/>
        <w:bidi w:val="0"/>
        <w:spacing w:line="560" w:lineRule="exact"/>
        <w:jc w:val="center"/>
        <w:textAlignment w:val="auto"/>
        <w:rPr>
          <w:rFonts w:ascii="仿宋" w:hAnsi="仿宋" w:eastAsia="仿宋"/>
          <w:sz w:val="32"/>
          <w:szCs w:val="32"/>
        </w:rPr>
      </w:pPr>
    </w:p>
    <w:p>
      <w:pPr>
        <w:keepNext w:val="0"/>
        <w:keepLines w:val="0"/>
        <w:pageBreakBefore w:val="0"/>
        <w:kinsoku/>
        <w:wordWrap/>
        <w:overflowPunct/>
        <w:topLinePunct w:val="0"/>
        <w:autoSpaceDN/>
        <w:bidi w:val="0"/>
        <w:spacing w:line="560" w:lineRule="exact"/>
        <w:ind w:firstLine="640"/>
        <w:textAlignment w:val="auto"/>
        <w:rPr>
          <w:rFonts w:ascii="仿宋" w:hAnsi="仿宋" w:eastAsia="仿宋"/>
          <w:sz w:val="32"/>
          <w:szCs w:val="32"/>
        </w:rPr>
      </w:pPr>
      <w:r>
        <w:rPr>
          <w:rFonts w:ascii="黑体" w:hAnsi="黑体" w:eastAsia="黑体" w:cs="黑体"/>
          <w:sz w:val="32"/>
          <w:szCs w:val="32"/>
        </w:rPr>
        <w:t>第</w:t>
      </w:r>
      <w:r>
        <w:rPr>
          <w:rFonts w:hint="eastAsia" w:ascii="黑体" w:hAnsi="黑体" w:eastAsia="黑体" w:cs="黑体"/>
          <w:sz w:val="32"/>
          <w:szCs w:val="32"/>
        </w:rPr>
        <w:t>十七</w:t>
      </w:r>
      <w:r>
        <w:rPr>
          <w:rFonts w:ascii="黑体" w:hAnsi="黑体" w:eastAsia="黑体" w:cs="黑体"/>
          <w:sz w:val="32"/>
          <w:szCs w:val="32"/>
        </w:rPr>
        <w:t>条</w:t>
      </w:r>
      <w:r>
        <w:rPr>
          <w:rFonts w:ascii="仿宋" w:hAnsi="仿宋" w:eastAsia="仿宋"/>
          <w:sz w:val="32"/>
          <w:szCs w:val="32"/>
        </w:rPr>
        <w:t xml:space="preserve"> 对负责专项资金管理的佛山高新区管委会分管领导、部门领导、经办人员在专项资金评审、分配、审批过程中存在违法违规行为的，按照“谁审批、谁负责”的原则，视情节轻重承担相应责任。构成犯罪的，</w:t>
      </w:r>
      <w:r>
        <w:rPr>
          <w:rFonts w:hint="eastAsia" w:ascii="仿宋" w:hAnsi="仿宋" w:eastAsia="仿宋"/>
          <w:sz w:val="32"/>
          <w:szCs w:val="32"/>
        </w:rPr>
        <w:t>依法移送司法机关</w:t>
      </w:r>
      <w:r>
        <w:rPr>
          <w:rFonts w:ascii="仿宋" w:hAnsi="仿宋" w:eastAsia="仿宋"/>
          <w:sz w:val="32"/>
          <w:szCs w:val="32"/>
        </w:rPr>
        <w:t>。</w:t>
      </w:r>
    </w:p>
    <w:p>
      <w:pPr>
        <w:keepNext w:val="0"/>
        <w:keepLines w:val="0"/>
        <w:pageBreakBefore w:val="0"/>
        <w:widowControl/>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w:t>
      </w:r>
      <w:r>
        <w:rPr>
          <w:rFonts w:hint="eastAsia" w:ascii="黑体" w:hAnsi="黑体" w:eastAsia="黑体" w:cs="黑体"/>
          <w:sz w:val="32"/>
          <w:szCs w:val="32"/>
        </w:rPr>
        <w:t>十八</w:t>
      </w:r>
      <w:r>
        <w:rPr>
          <w:rFonts w:ascii="黑体" w:hAnsi="黑体" w:eastAsia="黑体" w:cs="黑体"/>
          <w:sz w:val="32"/>
          <w:szCs w:val="32"/>
        </w:rPr>
        <w:t>条</w:t>
      </w:r>
      <w:r>
        <w:rPr>
          <w:rFonts w:ascii="仿宋" w:hAnsi="仿宋" w:eastAsia="仿宋"/>
          <w:sz w:val="32"/>
          <w:szCs w:val="32"/>
        </w:rPr>
        <w:t xml:space="preserve"> 项目承担单位在财政资金申报、管理、使用过程中存在违法违规行为的，依法依规作出严肃处理，追回专项资金，5年内</w:t>
      </w:r>
      <w:r>
        <w:rPr>
          <w:rFonts w:hint="eastAsia" w:ascii="仿宋" w:hAnsi="仿宋" w:eastAsia="仿宋"/>
          <w:sz w:val="32"/>
          <w:szCs w:val="32"/>
        </w:rPr>
        <w:t>停止</w:t>
      </w:r>
      <w:r>
        <w:rPr>
          <w:rFonts w:ascii="仿宋" w:hAnsi="仿宋" w:eastAsia="仿宋"/>
          <w:sz w:val="32"/>
          <w:szCs w:val="32"/>
        </w:rPr>
        <w:t>其申报专项资金资格，并向社会公开其违法违规信息。</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w:t>
      </w:r>
      <w:r>
        <w:rPr>
          <w:rFonts w:hint="eastAsia" w:ascii="黑体" w:hAnsi="黑体" w:eastAsia="黑体" w:cs="黑体"/>
          <w:sz w:val="32"/>
          <w:szCs w:val="32"/>
        </w:rPr>
        <w:t>十九</w:t>
      </w:r>
      <w:r>
        <w:rPr>
          <w:rFonts w:ascii="黑体" w:hAnsi="黑体" w:eastAsia="黑体" w:cs="黑体"/>
          <w:sz w:val="32"/>
          <w:szCs w:val="32"/>
        </w:rPr>
        <w:t>条</w:t>
      </w:r>
      <w:r>
        <w:rPr>
          <w:rFonts w:hint="eastAsia" w:ascii="仿宋" w:hAnsi="仿宋" w:eastAsia="仿宋"/>
          <w:sz w:val="32"/>
          <w:szCs w:val="32"/>
        </w:rPr>
        <w:t xml:space="preserve"> 第三方服务机构按照科技创新局委托事项要求开展具体事务性工作。对第三方服务机构在提供服务过程中存在违法违规行为的，应立即终止合作协议，取消其提供服务资格。</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autoSpaceDN/>
        <w:bidi w:val="0"/>
        <w:spacing w:line="560" w:lineRule="exact"/>
        <w:jc w:val="center"/>
        <w:textAlignment w:val="auto"/>
        <w:rPr>
          <w:rFonts w:ascii="黑体" w:hAnsi="黑体" w:eastAsia="黑体" w:cs="黑体"/>
          <w:sz w:val="32"/>
          <w:szCs w:val="32"/>
        </w:rPr>
      </w:pPr>
      <w:r>
        <w:rPr>
          <w:rFonts w:ascii="黑体" w:hAnsi="黑体" w:eastAsia="黑体" w:cs="黑体"/>
          <w:sz w:val="32"/>
          <w:szCs w:val="32"/>
        </w:rPr>
        <w:t>第七章 附 则</w:t>
      </w:r>
    </w:p>
    <w:p>
      <w:pPr>
        <w:keepNext w:val="0"/>
        <w:keepLines w:val="0"/>
        <w:pageBreakBefore w:val="0"/>
        <w:kinsoku/>
        <w:wordWrap/>
        <w:overflowPunct/>
        <w:topLinePunct w:val="0"/>
        <w:autoSpaceDN/>
        <w:bidi w:val="0"/>
        <w:spacing w:line="560" w:lineRule="exact"/>
        <w:jc w:val="center"/>
        <w:textAlignment w:val="auto"/>
        <w:rPr>
          <w:rFonts w:ascii="仿宋" w:hAnsi="仿宋" w:eastAsia="仿宋"/>
          <w:sz w:val="32"/>
          <w:szCs w:val="32"/>
        </w:rPr>
      </w:pP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第二十条</w:t>
      </w:r>
      <w:r>
        <w:rPr>
          <w:rFonts w:ascii="仿宋" w:hAnsi="仿宋" w:eastAsia="仿宋"/>
          <w:sz w:val="32"/>
          <w:szCs w:val="32"/>
        </w:rPr>
        <w:t xml:space="preserve"> 除政策明确规定额外奖补情况外，对符合本细则同时又符合佛山</w:t>
      </w:r>
      <w:r>
        <w:rPr>
          <w:rFonts w:hint="eastAsia" w:ascii="仿宋" w:hAnsi="仿宋" w:eastAsia="仿宋"/>
          <w:sz w:val="32"/>
          <w:szCs w:val="32"/>
        </w:rPr>
        <w:t>市</w:t>
      </w:r>
      <w:r>
        <w:rPr>
          <w:rFonts w:ascii="仿宋" w:hAnsi="仿宋" w:eastAsia="仿宋"/>
          <w:sz w:val="32"/>
          <w:szCs w:val="32"/>
        </w:rPr>
        <w:t>其他扶持政策规定的</w:t>
      </w:r>
      <w:r>
        <w:rPr>
          <w:rFonts w:hint="eastAsia" w:ascii="仿宋" w:hAnsi="仿宋" w:eastAsia="仿宋"/>
          <w:sz w:val="32"/>
          <w:szCs w:val="32"/>
        </w:rPr>
        <w:t>同类</w:t>
      </w:r>
      <w:r>
        <w:rPr>
          <w:rFonts w:ascii="仿宋" w:hAnsi="仿宋" w:eastAsia="仿宋"/>
          <w:sz w:val="32"/>
          <w:szCs w:val="32"/>
        </w:rPr>
        <w:t>事项，按照“从高不重复”原则给予支持。</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第二十</w:t>
      </w:r>
      <w:r>
        <w:rPr>
          <w:rFonts w:hint="eastAsia" w:ascii="黑体" w:hAnsi="黑体" w:eastAsia="黑体" w:cs="黑体"/>
          <w:sz w:val="32"/>
          <w:szCs w:val="32"/>
        </w:rPr>
        <w:t>一</w:t>
      </w:r>
      <w:r>
        <w:rPr>
          <w:rFonts w:ascii="黑体" w:hAnsi="黑体" w:eastAsia="黑体" w:cs="黑体"/>
          <w:sz w:val="32"/>
          <w:szCs w:val="32"/>
        </w:rPr>
        <w:t>条</w:t>
      </w:r>
      <w:r>
        <w:rPr>
          <w:rFonts w:ascii="仿宋" w:hAnsi="仿宋" w:eastAsia="仿宋"/>
          <w:sz w:val="32"/>
          <w:szCs w:val="32"/>
        </w:rPr>
        <w:t xml:space="preserve"> 本细则由佛山高新区管委会负责解释。</w:t>
      </w:r>
    </w:p>
    <w:p>
      <w:pPr>
        <w:keepNext w:val="0"/>
        <w:keepLines w:val="0"/>
        <w:pageBreakBefore w:val="0"/>
        <w:kinsoku/>
        <w:wordWrap/>
        <w:overflowPunct/>
        <w:topLinePunct w:val="0"/>
        <w:autoSpaceDN/>
        <w:bidi w:val="0"/>
        <w:spacing w:line="560" w:lineRule="exact"/>
        <w:ind w:firstLine="640" w:firstLineChars="200"/>
        <w:textAlignment w:val="auto"/>
        <w:rPr>
          <w:rFonts w:ascii="仿宋" w:hAnsi="仿宋" w:eastAsia="仿宋"/>
          <w:sz w:val="32"/>
          <w:szCs w:val="32"/>
        </w:rPr>
      </w:pPr>
      <w:r>
        <w:rPr>
          <w:rFonts w:ascii="黑体" w:hAnsi="黑体" w:eastAsia="黑体" w:cs="黑体"/>
          <w:sz w:val="32"/>
          <w:szCs w:val="32"/>
        </w:rPr>
        <w:t>第二十</w:t>
      </w:r>
      <w:r>
        <w:rPr>
          <w:rFonts w:hint="eastAsia" w:ascii="黑体" w:hAnsi="黑体" w:eastAsia="黑体" w:cs="黑体"/>
          <w:sz w:val="32"/>
          <w:szCs w:val="32"/>
        </w:rPr>
        <w:t>二</w:t>
      </w:r>
      <w:r>
        <w:rPr>
          <w:rFonts w:ascii="黑体" w:hAnsi="黑体" w:eastAsia="黑体" w:cs="黑体"/>
          <w:sz w:val="32"/>
          <w:szCs w:val="32"/>
        </w:rPr>
        <w:t>条</w:t>
      </w:r>
      <w:r>
        <w:rPr>
          <w:rFonts w:ascii="仿宋" w:hAnsi="仿宋" w:eastAsia="仿宋"/>
          <w:b/>
          <w:bCs/>
          <w:sz w:val="32"/>
          <w:szCs w:val="32"/>
        </w:rPr>
        <w:t xml:space="preserve"> </w:t>
      </w:r>
      <w:r>
        <w:rPr>
          <w:rFonts w:hint="eastAsia" w:ascii="仿宋" w:hAnsi="仿宋" w:eastAsia="仿宋"/>
          <w:sz w:val="32"/>
          <w:szCs w:val="32"/>
        </w:rPr>
        <w:t>本细则自印发之日起实施</w:t>
      </w:r>
      <w:r>
        <w:rPr>
          <w:rFonts w:hint="eastAsia" w:ascii="仿宋" w:hAnsi="仿宋" w:eastAsia="仿宋"/>
          <w:sz w:val="32"/>
          <w:szCs w:val="32"/>
          <w:highlight w:val="none"/>
        </w:rPr>
        <w:t>，有效期</w:t>
      </w:r>
      <w:r>
        <w:rPr>
          <w:rFonts w:ascii="仿宋" w:hAnsi="仿宋" w:eastAsia="仿宋"/>
          <w:sz w:val="32"/>
          <w:szCs w:val="32"/>
          <w:highlight w:val="none"/>
        </w:rPr>
        <w:t>3</w:t>
      </w:r>
      <w:r>
        <w:rPr>
          <w:rFonts w:hint="eastAsia" w:ascii="仿宋" w:hAnsi="仿宋" w:eastAsia="仿宋"/>
          <w:sz w:val="32"/>
          <w:szCs w:val="32"/>
          <w:highlight w:val="none"/>
        </w:rPr>
        <w:t>年。原《佛山高新技术产业开发区管理委员会瞪羚企业认定及扶持办法》（佛高新〔</w:t>
      </w:r>
      <w:r>
        <w:rPr>
          <w:rFonts w:ascii="仿宋" w:hAnsi="仿宋" w:eastAsia="仿宋"/>
          <w:sz w:val="32"/>
          <w:szCs w:val="32"/>
          <w:highlight w:val="none"/>
        </w:rPr>
        <w:t>2018</w:t>
      </w:r>
      <w:r>
        <w:rPr>
          <w:rFonts w:hint="eastAsia" w:ascii="仿宋" w:hAnsi="仿宋" w:eastAsia="仿宋"/>
          <w:sz w:val="32"/>
          <w:szCs w:val="32"/>
          <w:highlight w:val="none"/>
        </w:rPr>
        <w:t>〕</w:t>
      </w:r>
      <w:r>
        <w:rPr>
          <w:rFonts w:ascii="仿宋" w:hAnsi="仿宋" w:eastAsia="仿宋"/>
          <w:sz w:val="32"/>
          <w:szCs w:val="32"/>
          <w:highlight w:val="none"/>
        </w:rPr>
        <w:t>52</w:t>
      </w:r>
      <w:r>
        <w:rPr>
          <w:rFonts w:hint="eastAsia" w:ascii="仿宋" w:hAnsi="仿宋" w:eastAsia="仿宋"/>
          <w:sz w:val="32"/>
          <w:szCs w:val="32"/>
          <w:highlight w:val="none"/>
        </w:rPr>
        <w:t>号）废止。本细则实施前已认定的瞪羚企</w:t>
      </w:r>
      <w:r>
        <w:rPr>
          <w:rFonts w:hint="eastAsia" w:ascii="仿宋" w:hAnsi="仿宋" w:eastAsia="仿宋"/>
          <w:sz w:val="32"/>
          <w:szCs w:val="32"/>
        </w:rPr>
        <w:t>业，相关配套扶持政策按原《佛山高新技术产业开发区管理委员会瞪羚企业认定及扶持办法》（佛高新〔</w:t>
      </w:r>
      <w:r>
        <w:rPr>
          <w:rFonts w:ascii="仿宋" w:hAnsi="仿宋" w:eastAsia="仿宋"/>
          <w:sz w:val="32"/>
          <w:szCs w:val="32"/>
        </w:rPr>
        <w:t>2018</w:t>
      </w:r>
      <w:r>
        <w:rPr>
          <w:rFonts w:hint="eastAsia" w:ascii="仿宋" w:hAnsi="仿宋" w:eastAsia="仿宋"/>
          <w:sz w:val="32"/>
          <w:szCs w:val="32"/>
        </w:rPr>
        <w:t>〕</w:t>
      </w:r>
      <w:r>
        <w:rPr>
          <w:rFonts w:ascii="仿宋" w:hAnsi="仿宋" w:eastAsia="仿宋"/>
          <w:sz w:val="32"/>
          <w:szCs w:val="32"/>
        </w:rPr>
        <w:t>52</w:t>
      </w:r>
      <w:r>
        <w:rPr>
          <w:rFonts w:hint="eastAsia" w:ascii="仿宋" w:hAnsi="仿宋" w:eastAsia="仿宋"/>
          <w:sz w:val="32"/>
          <w:szCs w:val="32"/>
        </w:rPr>
        <w:t>号）执行。</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pStyle w:val="2"/>
        <w:spacing w:line="560" w:lineRule="exact"/>
        <w:ind w:firstLine="0" w:firstLineChars="0"/>
        <w:rPr>
          <w:rFonts w:ascii="仿宋" w:hAnsi="仿宋" w:eastAsia="仿宋" w:cs="仿宋"/>
          <w:sz w:val="32"/>
          <w:szCs w:val="32"/>
        </w:rPr>
      </w:pPr>
    </w:p>
    <w:p>
      <w:pPr>
        <w:spacing w:line="560" w:lineRule="exact"/>
        <w:ind w:firstLine="240" w:firstLineChars="100"/>
        <w:rPr>
          <w:rFonts w:ascii="仿宋" w:hAnsi="仿宋" w:eastAsia="仿宋" w:cs="仿宋"/>
          <w:sz w:val="32"/>
          <w:szCs w:val="32"/>
        </w:rPr>
      </w:pPr>
      <w:r>
        <w:rPr>
          <w:rFonts w:hint="eastAsia" w:ascii="仿宋" w:hAnsi="仿宋" w:eastAsia="仿宋"/>
          <w:spacing w:val="-20"/>
          <w:sz w:val="28"/>
          <w:szCs w:val="28"/>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33020</wp:posOffset>
                </wp:positionV>
                <wp:extent cx="55594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594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2.6pt;height:0pt;width:437.75pt;z-index:251662336;mso-width-relative:page;mso-height-relative:page;" filled="f" stroked="t" coordsize="21600,21600" o:gfxdata="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nt3kdMAAAAFAQAADwAAAAAAAAABACAAAAAi&#10;AAAAZHJzL2Rvd25yZXYueG1sUEsBAhQAFAAAAAgAh07iQOf021/WAQAAmAMAAA4AAAAAAAAAAQAg&#10;AAAAIgEAAGRycy9lMm9Eb2MueG1sUEsFBgAAAAAGAAYAWQEAAGoFAAAAAA==&#10;">
                <v:fill on="f" focussize="0,0"/>
                <v:stroke color="#000000" joinstyle="round"/>
                <v:imagedata o:title=""/>
                <o:lock v:ext="edit" aspectratio="f"/>
              </v:line>
            </w:pict>
          </mc:Fallback>
        </mc:AlternateContent>
      </w:r>
      <w:r>
        <w:rPr>
          <w:rFonts w:hint="eastAsia" w:ascii="仿宋_GB2312" w:eastAsia="仿宋_GB2312"/>
          <w:spacing w:val="-20"/>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378460</wp:posOffset>
                </wp:positionV>
                <wp:extent cx="55594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94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9.8pt;height:0pt;width:437.75pt;z-index:251663360;mso-width-relative:page;mso-height-relative:page;" filled="f" stroked="t" coordsize="21600,21600" o:gfxdata="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mRxR9QAAAAGAQAADwAAAAAAAAABACAAAAAi&#10;AAAAZHJzL2Rvd25yZXYueG1sUEsBAhQAFAAAAAgAh07iQBk5FFXVAQAAmAMAAA4AAAAAAAAAAQAg&#10;AAAAIwEAAGRycy9lMm9Eb2MueG1sUEsFBgAAAAAGAAYAWQEAAGoFAAAAAA==&#10;">
                <v:fill on="f" focussize="0,0"/>
                <v:stroke color="#000000" joinstyle="round"/>
                <v:imagedata o:title=""/>
                <o:lock v:ext="edit" aspectratio="f"/>
              </v:line>
            </w:pict>
          </mc:Fallback>
        </mc:AlternateContent>
      </w:r>
      <w:r>
        <w:rPr>
          <w:rFonts w:hint="eastAsia" w:ascii="仿宋" w:hAnsi="仿宋" w:eastAsia="仿宋"/>
          <w:spacing w:val="-20"/>
          <w:sz w:val="28"/>
          <w:szCs w:val="28"/>
        </w:rPr>
        <w:t xml:space="preserve">佛山高新技术产业开发区管理委员会党政办公室        </w:t>
      </w:r>
      <w:r>
        <w:rPr>
          <w:rFonts w:hint="eastAsia" w:ascii="仿宋" w:hAnsi="仿宋" w:eastAsia="仿宋"/>
          <w:spacing w:val="-17"/>
          <w:sz w:val="28"/>
          <w:szCs w:val="28"/>
        </w:rPr>
        <w:t>2020年</w:t>
      </w:r>
      <w:r>
        <w:rPr>
          <w:rFonts w:hint="eastAsia" w:ascii="仿宋" w:hAnsi="仿宋" w:eastAsia="仿宋"/>
          <w:spacing w:val="-17"/>
          <w:sz w:val="28"/>
          <w:szCs w:val="28"/>
          <w:lang w:val="en-US" w:eastAsia="zh-CN"/>
        </w:rPr>
        <w:t>12</w:t>
      </w:r>
      <w:r>
        <w:rPr>
          <w:rFonts w:hint="eastAsia" w:ascii="仿宋" w:hAnsi="仿宋" w:eastAsia="仿宋"/>
          <w:spacing w:val="-17"/>
          <w:sz w:val="28"/>
          <w:szCs w:val="28"/>
        </w:rPr>
        <w:t>月</w:t>
      </w:r>
      <w:r>
        <w:rPr>
          <w:rFonts w:hint="eastAsia" w:ascii="仿宋" w:hAnsi="仿宋" w:eastAsia="仿宋"/>
          <w:spacing w:val="-17"/>
          <w:sz w:val="28"/>
          <w:szCs w:val="28"/>
          <w:lang w:val="en-US" w:eastAsia="zh-CN"/>
        </w:rPr>
        <w:t>7</w:t>
      </w:r>
      <w:r>
        <w:rPr>
          <w:rFonts w:hint="eastAsia" w:ascii="仿宋" w:hAnsi="仿宋" w:eastAsia="仿宋"/>
          <w:spacing w:val="-17"/>
          <w:sz w:val="28"/>
          <w:szCs w:val="28"/>
        </w:rPr>
        <w:t>日印发</w:t>
      </w:r>
      <w:r>
        <w:rPr>
          <w:rFonts w:hint="eastAsia" w:ascii="仿宋" w:hAnsi="仿宋" w:eastAsia="仿宋"/>
          <w:sz w:val="28"/>
          <w:szCs w:val="28"/>
        </w:rPr>
        <w:t xml:space="preserve"> </w:t>
      </w:r>
      <w:r>
        <w:rPr>
          <w:rFonts w:ascii="Times New Roman" w:hAnsi="Times New Roman" w:eastAsia="仿宋" w:cs="Times New Roman"/>
          <w:sz w:val="32"/>
          <w:szCs w:val="32"/>
        </w:rPr>
        <w:t xml:space="preserve"> </w:t>
      </w:r>
    </w:p>
    <w:p/>
    <w:sectPr>
      <w:headerReference r:id="rId3" w:type="default"/>
      <w:footerReference r:id="rId4" w:type="default"/>
      <w:pgSz w:w="11906" w:h="16838"/>
      <w:pgMar w:top="2098" w:right="1474" w:bottom="1984" w:left="1587"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514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1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35.55pt;mso-position-horizontal:outside;mso-position-horizontal-relative:margin;mso-wrap-style:none;z-index:251658240;mso-width-relative:page;mso-height-relative:page;" filled="f" stroked="f" coordsize="21600,21600" o:gfxdata="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x7H/SAAAAAwEAAA8AAAAAAAAAAQAg&#10;AAAAIgAAAGRycy9kb3ducmV2LnhtbFBLAQIUABQAAAAIAIdO4kAJXTF8FAIAAAUEAAAOAAAAAAAA&#10;AAEAIAAAACEBAABkcnMvZTJvRG9jLnhtbFBLBQYAAAAABgAGAFkBAACnBQ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43938"/>
    <w:rsid w:val="079439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狮山镇人民政府</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2020-12-08T07:54:00Z</dcterms:created>
  <dc:creator>张锦仪（总工会网管员）</dc:creator>
  <cp:lastModifiedBy>张锦仪（总工会网管员）</cp:lastModifiedBy>
  <dcterms:modified xsi:type="dcterms:W3CDTF">2020-12-08T07:55:12Z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