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auto"/>
          <w:sz w:val="40"/>
          <w:szCs w:val="40"/>
        </w:rPr>
      </w:pPr>
      <w:bookmarkStart w:id="0" w:name="_GoBack"/>
      <w:r>
        <w:rPr>
          <w:rFonts w:hint="eastAsia" w:ascii="方正小标宋_GBK" w:hAnsi="方正小标宋_GBK" w:eastAsia="方正小标宋_GBK" w:cs="方正小标宋_GBK"/>
          <w:color w:val="auto"/>
          <w:sz w:val="40"/>
          <w:szCs w:val="40"/>
        </w:rPr>
        <w:t>中央层面设定的涉企经营许可事项改革清单（</w:t>
      </w:r>
      <w:r>
        <w:rPr>
          <w:rFonts w:hint="eastAsia" w:ascii="方正小标宋_GBK" w:hAnsi="方正小标宋_GBK" w:eastAsia="方正小标宋_GBK" w:cs="方正小标宋_GBK"/>
          <w:sz w:val="40"/>
          <w:szCs w:val="40"/>
          <w:lang w:val="en-US" w:eastAsia="zh-CN"/>
        </w:rPr>
        <w:t>2022年</w:t>
      </w:r>
      <w:r>
        <w:rPr>
          <w:rFonts w:hint="eastAsia" w:ascii="方正小标宋_GBK" w:hAnsi="方正小标宋_GBK" w:eastAsia="方正小标宋_GBK" w:cs="方正小标宋_GBK"/>
          <w:color w:val="auto"/>
          <w:sz w:val="40"/>
          <w:szCs w:val="40"/>
        </w:rPr>
        <w:t>深圳自贸试验区版）</w:t>
      </w:r>
    </w:p>
    <w:bookmarkEnd w:id="0"/>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eastAsia="楷体_GB2312"/>
          <w:color w:val="auto"/>
          <w:sz w:val="30"/>
          <w:szCs w:val="30"/>
        </w:rPr>
      </w:pPr>
      <w:r>
        <w:rPr>
          <w:rFonts w:ascii="Times New Roman" w:hAnsi="Times New Roman" w:eastAsia="楷体_GB2312" w:cs="Times New Roman"/>
          <w:color w:val="auto"/>
          <w:sz w:val="30"/>
          <w:szCs w:val="30"/>
        </w:rPr>
        <w:t>（共</w:t>
      </w:r>
      <w:r>
        <w:rPr>
          <w:rFonts w:hint="eastAsia" w:ascii="Times New Roman" w:hAnsi="Times New Roman" w:eastAsia="楷体_GB2312" w:cs="Times New Roman"/>
          <w:color w:val="auto"/>
          <w:sz w:val="30"/>
          <w:szCs w:val="30"/>
        </w:rPr>
        <w:t>69</w:t>
      </w:r>
      <w:r>
        <w:rPr>
          <w:rFonts w:ascii="Times New Roman" w:hAnsi="Times New Roman" w:eastAsia="楷体_GB2312" w:cs="Times New Roman"/>
          <w:color w:val="auto"/>
          <w:sz w:val="30"/>
          <w:szCs w:val="30"/>
        </w:rPr>
        <w:t>项）</w:t>
      </w:r>
    </w:p>
    <w:tbl>
      <w:tblPr>
        <w:tblStyle w:val="3"/>
        <w:tblW w:w="0" w:type="auto"/>
        <w:jc w:val="center"/>
        <w:tblLayout w:type="fixed"/>
        <w:tblCellMar>
          <w:top w:w="0" w:type="dxa"/>
          <w:left w:w="108" w:type="dxa"/>
          <w:bottom w:w="0" w:type="dxa"/>
          <w:right w:w="108" w:type="dxa"/>
        </w:tblCellMar>
      </w:tblPr>
      <w:tblGrid>
        <w:gridCol w:w="544"/>
        <w:gridCol w:w="616"/>
        <w:gridCol w:w="1025"/>
        <w:gridCol w:w="1080"/>
        <w:gridCol w:w="1065"/>
        <w:gridCol w:w="1058"/>
        <w:gridCol w:w="465"/>
        <w:gridCol w:w="443"/>
        <w:gridCol w:w="454"/>
        <w:gridCol w:w="454"/>
        <w:gridCol w:w="2458"/>
        <w:gridCol w:w="3031"/>
        <w:gridCol w:w="1149"/>
        <w:gridCol w:w="637"/>
      </w:tblGrid>
      <w:tr>
        <w:tblPrEx>
          <w:tblCellMar>
            <w:top w:w="0" w:type="dxa"/>
            <w:left w:w="108" w:type="dxa"/>
            <w:bottom w:w="0" w:type="dxa"/>
            <w:right w:w="108" w:type="dxa"/>
          </w:tblCellMar>
        </w:tblPrEx>
        <w:trPr>
          <w:cantSplit/>
          <w:trHeight w:val="312" w:hRule="exact"/>
          <w:tblHeader/>
          <w:jc w:val="center"/>
        </w:trPr>
        <w:tc>
          <w:tcPr>
            <w:tcW w:w="544" w:type="dxa"/>
            <w:vMerge w:val="restart"/>
            <w:tcBorders>
              <w:top w:val="single" w:color="auto" w:sz="4" w:space="0"/>
              <w:left w:val="single" w:color="auto" w:sz="4" w:space="0"/>
              <w:bottom w:val="single" w:color="000000"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序</w:t>
            </w:r>
          </w:p>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号</w:t>
            </w:r>
          </w:p>
        </w:tc>
        <w:tc>
          <w:tcPr>
            <w:tcW w:w="616" w:type="dxa"/>
            <w:vMerge w:val="restart"/>
            <w:tcBorders>
              <w:top w:val="single" w:color="auto" w:sz="4" w:space="0"/>
              <w:left w:val="single" w:color="auto" w:sz="4" w:space="0"/>
              <w:bottom w:val="single" w:color="000000"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主管</w:t>
            </w:r>
          </w:p>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部门</w:t>
            </w:r>
          </w:p>
        </w:tc>
        <w:tc>
          <w:tcPr>
            <w:tcW w:w="1025"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改革</w:t>
            </w:r>
          </w:p>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事项</w:t>
            </w:r>
          </w:p>
        </w:tc>
        <w:tc>
          <w:tcPr>
            <w:tcW w:w="1080"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许可证件</w:t>
            </w:r>
          </w:p>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名称</w:t>
            </w:r>
          </w:p>
        </w:tc>
        <w:tc>
          <w:tcPr>
            <w:tcW w:w="1065"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right="-105" w:rightChars="-5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设定依据</w:t>
            </w:r>
          </w:p>
        </w:tc>
        <w:tc>
          <w:tcPr>
            <w:tcW w:w="1058"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auto"/>
                <w:spacing w:val="-20"/>
                <w:kern w:val="0"/>
                <w:sz w:val="20"/>
                <w:szCs w:val="20"/>
              </w:rPr>
            </w:pPr>
            <w:r>
              <w:rPr>
                <w:rFonts w:hint="eastAsia" w:ascii="黑体" w:hAnsi="黑体" w:eastAsia="黑体" w:cs="黑体"/>
                <w:color w:val="auto"/>
                <w:spacing w:val="-20"/>
                <w:kern w:val="0"/>
                <w:sz w:val="20"/>
                <w:szCs w:val="20"/>
              </w:rPr>
              <w:t>审批层级</w:t>
            </w:r>
          </w:p>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和部门</w:t>
            </w:r>
          </w:p>
        </w:tc>
        <w:tc>
          <w:tcPr>
            <w:tcW w:w="1816" w:type="dxa"/>
            <w:gridSpan w:val="4"/>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改革方式</w:t>
            </w:r>
          </w:p>
        </w:tc>
        <w:tc>
          <w:tcPr>
            <w:tcW w:w="2458"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right="-105" w:rightChars="-5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具体改革举措</w:t>
            </w:r>
          </w:p>
        </w:tc>
        <w:tc>
          <w:tcPr>
            <w:tcW w:w="3031"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right="-105" w:rightChars="-5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加强事中事后监管措施</w:t>
            </w:r>
          </w:p>
        </w:tc>
        <w:tc>
          <w:tcPr>
            <w:tcW w:w="1149"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市责任单位</w:t>
            </w:r>
          </w:p>
        </w:tc>
        <w:tc>
          <w:tcPr>
            <w:tcW w:w="637"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备注</w:t>
            </w:r>
          </w:p>
        </w:tc>
      </w:tr>
      <w:tr>
        <w:tblPrEx>
          <w:tblCellMar>
            <w:top w:w="0" w:type="dxa"/>
            <w:left w:w="108" w:type="dxa"/>
            <w:bottom w:w="0" w:type="dxa"/>
            <w:right w:w="108" w:type="dxa"/>
          </w:tblCellMar>
        </w:tblPrEx>
        <w:trPr>
          <w:cantSplit/>
          <w:trHeight w:val="90" w:hRule="atLeast"/>
          <w:tblHeader/>
          <w:jc w:val="center"/>
        </w:trPr>
        <w:tc>
          <w:tcPr>
            <w:tcW w:w="544" w:type="dxa"/>
            <w:vMerge w:val="continue"/>
            <w:tcBorders>
              <w:top w:val="nil"/>
              <w:left w:val="single" w:color="auto" w:sz="4" w:space="0"/>
              <w:bottom w:val="single" w:color="000000"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left"/>
              <w:rPr>
                <w:rFonts w:hint="eastAsia" w:ascii="宋体" w:hAnsi="宋体" w:eastAsia="宋体" w:cs="宋体"/>
                <w:color w:val="auto"/>
                <w:kern w:val="0"/>
                <w:sz w:val="20"/>
                <w:szCs w:val="20"/>
              </w:rPr>
            </w:pPr>
          </w:p>
        </w:tc>
        <w:tc>
          <w:tcPr>
            <w:tcW w:w="616" w:type="dxa"/>
            <w:vMerge w:val="continue"/>
            <w:tcBorders>
              <w:top w:val="nil"/>
              <w:left w:val="single" w:color="auto" w:sz="4" w:space="0"/>
              <w:bottom w:val="single" w:color="000000"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tc>
        <w:tc>
          <w:tcPr>
            <w:tcW w:w="102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color w:val="auto"/>
                <w:kern w:val="0"/>
                <w:sz w:val="20"/>
                <w:szCs w:val="20"/>
              </w:rPr>
            </w:pPr>
          </w:p>
        </w:tc>
        <w:tc>
          <w:tcPr>
            <w:tcW w:w="106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color w:val="auto"/>
                <w:kern w:val="0"/>
                <w:sz w:val="20"/>
                <w:szCs w:val="20"/>
              </w:rPr>
            </w:pPr>
          </w:p>
        </w:tc>
        <w:tc>
          <w:tcPr>
            <w:tcW w:w="105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color w:val="auto"/>
                <w:kern w:val="0"/>
                <w:sz w:val="20"/>
                <w:szCs w:val="20"/>
              </w:rPr>
            </w:pPr>
          </w:p>
        </w:tc>
        <w:tc>
          <w:tcPr>
            <w:tcW w:w="465"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直接</w:t>
            </w:r>
          </w:p>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取消</w:t>
            </w:r>
          </w:p>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审批</w:t>
            </w:r>
          </w:p>
        </w:tc>
        <w:tc>
          <w:tcPr>
            <w:tcW w:w="443"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审批</w:t>
            </w:r>
          </w:p>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改为</w:t>
            </w:r>
          </w:p>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备案</w:t>
            </w:r>
          </w:p>
        </w:tc>
        <w:tc>
          <w:tcPr>
            <w:tcW w:w="45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实行</w:t>
            </w:r>
          </w:p>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告知</w:t>
            </w:r>
          </w:p>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承诺</w:t>
            </w:r>
          </w:p>
        </w:tc>
        <w:tc>
          <w:tcPr>
            <w:tcW w:w="45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优化</w:t>
            </w:r>
          </w:p>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审批</w:t>
            </w:r>
          </w:p>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黑体" w:hAnsi="黑体" w:eastAsia="黑体" w:cs="黑体"/>
                <w:color w:val="auto"/>
                <w:kern w:val="0"/>
                <w:sz w:val="20"/>
                <w:szCs w:val="20"/>
              </w:rPr>
            </w:pPr>
            <w:r>
              <w:rPr>
                <w:rFonts w:hint="eastAsia" w:ascii="黑体" w:hAnsi="黑体" w:eastAsia="黑体" w:cs="黑体"/>
                <w:color w:val="auto"/>
                <w:kern w:val="0"/>
                <w:sz w:val="20"/>
                <w:szCs w:val="20"/>
              </w:rPr>
              <w:t>服务</w:t>
            </w:r>
          </w:p>
        </w:tc>
        <w:tc>
          <w:tcPr>
            <w:tcW w:w="24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p>
        </w:tc>
        <w:tc>
          <w:tcPr>
            <w:tcW w:w="303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5839"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教育部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实施中等及中等以下学历教育、学前教育、自学考试助学及其他文化教育的民办学校筹设审批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筹设批准书</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《中华人民共和国民办教育促进法》</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《中华人民共和国民办教育促进法实施条例》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县级以上地方教育部门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举办实施中等及中等以下学历教育、学前教育、自学考试助学及其他文化教育的民办学校，不再向教育部门申办筹设审批，直接申请办理办学许可。</w:t>
            </w:r>
          </w:p>
        </w:tc>
        <w:tc>
          <w:tcPr>
            <w:tcW w:w="30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开展“双随机、一公开”监管，定期进行抽查检查，加强对民办学校的过程性指导，加大对违法违规办学行为的查处力度。2.推进民办教育信用信息公示制度，将民办学校的法人登记信息、行政许可信息、年度检查信息、监督检查结果、行政处罚信息向社会公示，强化信用约束。3.依法依规建立违规失信惩戒机制，并将违规办学的学校及其举办者和负责人纳入黑名单，依法向社会公开，并对其今后在民办教育领域的许可申请实施重点监管。4.健全联合执法机制，通过跨部门的实时数据对接和信息共享，及时掌握和研判民办教育领域出现的新问题，积极主动予以应对。</w:t>
            </w:r>
          </w:p>
        </w:tc>
        <w:tc>
          <w:tcPr>
            <w:tcW w:w="114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市教育局</w:t>
            </w:r>
          </w:p>
        </w:tc>
        <w:tc>
          <w:tcPr>
            <w:tcW w:w="63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3923"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公安部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互联网上网服务营业场所信息网络安全审核</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批准文件</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《互联网上网服务营业场所管理条例》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省、设区的市、县级公安机关</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取消“互联网上网服务营业场所信息网络安全审核”。</w:t>
            </w:r>
          </w:p>
        </w:tc>
        <w:tc>
          <w:tcPr>
            <w:tcW w:w="3031"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加强部门间信息共享，市场监管部门在企业登记后及时将有关信息推送至有关公安机关，文化和旅游部门在实施互联网上网服务营业场所审批后及时将有关信息推送至同级公安机关，公安机关及时纳入监管范围。2.开展“双随机、一公开”监管，依法查处违法违规行为。3.加强信用监管，建立从业人员信用档案，依法依规对失信主体开展失信惩戒。</w:t>
            </w:r>
          </w:p>
        </w:tc>
        <w:tc>
          <w:tcPr>
            <w:tcW w:w="1149"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市公安局</w:t>
            </w:r>
          </w:p>
        </w:tc>
        <w:tc>
          <w:tcPr>
            <w:tcW w:w="637"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3923"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财政部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中介机构从事代理记账业务审批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代理记账许可证书</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《中华人民共和国会计法》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县级以上地方财政部门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取消“中介机构从事代理记账业务审批”。</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充分运用市场监管部门共享的代理记账中介机构登记注册信息，加强监管。2.加强对代理记账行业协会的指导，提升行业协会自律水平。3.根据会计信息质量检查等执法工作中发现的线索，对相关代理记账中介机构实施重点监管。</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市财政局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人力资源社会保障部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民办普通、高级技工学校筹设审批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无</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《中华人民共和国民办教育促进法》</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《中华人民共和国民办教育促进法实施条例》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省级人力资源社会保障部门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举办民办普通、高级技工学校不再向人力资源社会保障部门申请办理筹设审批，直接申请办理办学许可。</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1.开展“双随机、一公开”监管，依法查处违法违规行为。2.加强日常监管，依法及时处理投诉举报。</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市人力资源保障局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人力资源社会保障部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民办技师学院筹设审批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无</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《中华人民共和国民办教育促进法》</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《中华人民共和国民办教育促进法实施条例》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省级人民政府</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开办技师学院不再向省级人民政府申请办理筹设审批，直接申请办理办学许可。</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1.开展“双随机、一公开”监管，依法查处违法违规行为。2.加强日常监管，依法及时处理投诉举报。</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按照省级人民政府的部署落实</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住房城乡建设部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从事生活垃圾（含粪便）经营性清扫、收集、运输服务审批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从事生活垃圾（含粪便）经营性清扫、收集、运输服务许可证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《国务院对确需保留的行政审批项目设定行政许可的决定》</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县级以上地方住房城乡建设（环境卫生）部门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取消“从事生活垃圾（含粪便）经营性清扫、收集、运输服务审批”。</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1.构建生活垃圾经营性服务全过程监管体系，强化日常监管。2.推动生活垃圾无害化处理设施建设和运营信息公开。</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市</w:t>
            </w:r>
            <w:r>
              <w:rPr>
                <w:rFonts w:hint="eastAsia" w:ascii="宋体" w:hAnsi="宋体" w:eastAsia="宋体" w:cs="宋体"/>
                <w:color w:val="auto"/>
                <w:kern w:val="0"/>
                <w:sz w:val="20"/>
                <w:szCs w:val="20"/>
                <w:lang w:eastAsia="zh-CN"/>
              </w:rPr>
              <w:t>城管和综合执法局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4734"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商务部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对外贸易经营者备案登记</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对外贸易经营者备案登记表</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《中华人民共和国对外贸易法》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县级以上地方商务部门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取消“对外贸易经营者备案登记”。</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加强部门间信息共享，商务部会同市场监管总局建立信息共享专线，市场监管总局将对外贸易经营企业的登记注册信息和应商务部需求采集的其他信息及时推送至商务部等有关部门，海关总署将进出口货物收发货人备案信息等及时推送至商务部等有关部门。2.商务部指导自由贸易试验区开展“双随机、一公开”监管等事中事后监管，发现违法违规行为要依法查处并公开结果，对严重违法违规的企业依法联合实施市场禁入措施。3.加强信用监管，建立经营主体信用记录，依法依规实施失信惩戒。4.支持行业协会发挥自律作用。</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市商务局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3090"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商务部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供港澳活畜禽经营权审批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批准文件</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《中华人民共和国货物进出口管理条例》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商务部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取消“供港澳活畜禽经营权审批”。自由贸易试验区企业申请供港澳活畜禽配额，在向商务部门首次提出配额申请时，提供相应证明材料或者声明是在自由贸易试验区内注册企业，地方商务部门核实有关信息后报商务部申请有关配额。</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1.地方商务主管部门在每年年底前向商务部报备本年新增供港澳活畜禽出口企业及当年配额使用情况。2.加强信用监管，将供港澳活畜禽企业经营情况记入信用记录，依法依规实施失信惩戒。</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市商务局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中国人民银行</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国有大型商业银行及其分支机构进入全国银行间债券市场备案</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备案通知书</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《国务院对确需保留的行政审批项目设定行政许可的决定》</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中国人民银行总行</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取消“国有大型商业银行及其分支机构进入全国银行间债券市场备案”。</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开展“双随机、一公开”监管，根据不同风险程度、信用水平，合理确定抽查比例，对入市机构进行合格性评估。</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按照中国人民银行总行</w:t>
            </w:r>
            <w:r>
              <w:rPr>
                <w:rFonts w:hint="eastAsia" w:ascii="宋体" w:hAnsi="宋体" w:eastAsia="宋体" w:cs="宋体"/>
                <w:color w:val="auto"/>
                <w:kern w:val="0"/>
                <w:sz w:val="20"/>
                <w:szCs w:val="20"/>
                <w:lang w:eastAsia="zh-CN"/>
              </w:rPr>
              <w:t>的</w:t>
            </w:r>
            <w:r>
              <w:rPr>
                <w:rFonts w:hint="eastAsia" w:ascii="宋体" w:hAnsi="宋体" w:eastAsia="宋体" w:cs="宋体"/>
                <w:color w:val="auto"/>
                <w:kern w:val="0"/>
                <w:sz w:val="20"/>
                <w:szCs w:val="20"/>
              </w:rPr>
              <w:t>部署落实</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市场监管总局</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承担国家法定计量检定机构任务授权审批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计量授权证书</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《中华人民共和国计量法》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县级以上市场监管部门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取消“承担国家法定计量检定机构任务授权审批”。</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开展“双随机、一公开”监管，发现违法违规行为要依法查处并公开结果。2.对通过投诉举报等渠道反映问题多的机构实施重点监管。3.加强信用监管，依法向社会公布法定计量检定机构信用状况，依法依规对失信主体开展失信惩戒。</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市市场监管局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广电总局</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设立电视剧制作单位审批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电视剧制作许可证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《广播电视管理条例》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广电总局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取消“设立电视剧制作单位审批”。</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1.落实意识形态工作责任制，严格电视剧内容审查把关和发行播出管理。2.通过日常监听监看、受理群众举报等方式对电视剧制作单位的电视剧制作情况进行监管，发现违法违规行为要依法查处并公开结果。</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市文化广电旅游体育局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013"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国家药监局</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医疗机构使用放射性药品（一、二类）许可</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放射性药品使用许可证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《放射性药品管理办法》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省级药监部门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取消“医疗机构使用放射性药品（一、二类）许可”。</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加强对医疗机构使用放射性药品的日常监督检查。2.加强药监、卫生健康、生态环境等部门间的协调配合，及时共享医疗机构使用放射性药品信息。3.及时向社会公开医疗机构使用放射性药品有关信息，加强社会监督。</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市市场监管局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920"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国家药监局</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药品零售企业筹建审批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300" w:firstLineChars="150"/>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无</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《中华人民共和国药品管理法实施条例》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设区的市、县级药监部门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开办药品零售企业不再向药监部门申请办理筹建审批，直接申请办理药品经营许可。</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全面落实新修订的药品管理法有关规定，进一步完善有关部门规章内容，细化监管要求，推动属地监管部门强化监督检查，落实监管责任。2.落实“四个最严”要求，制定年度监管计划，突出监管重点，强化风险控制。3.通过日常监管督促企业不断完善、改进质量管理体系，持续合法合规经营。4.对违法违规行为依法严厉查处并公开曝光。</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市市场监管局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920"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国家药监局</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药品批发企业筹建审批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300" w:firstLineChars="150"/>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无</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《中华人民共和国药品管理法实施条例》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省级药监部门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开办药品批发企业不再向药监部门申请办理筹建审批，直接申请办理药品经营许可。</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全面落实新修订的药品管理法有关规定，进一步完善有关部门规章内容，细化监管要求，推动属地监管部门强化监督检查，落实监管责任。2.落实“四个最严”要求，制定年度监管计划，突出监管重点，强化风险控制。3.通过日常监管督促企业不断完善、改进质量管理体系，持续合法合规经营。4.对违法违规行为依法严厉查处并公开曝光。</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市市场监管局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4677"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教育部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实施自学考试助学的民办学校设立、变更和终止审批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中华人民共和国民办学校办学许可证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《中华人民共和国民办教育促进法》</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《中华人民共和国民办教育促进法实施条例》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县级以上地方教育部门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对实施自学考试助学的民办学校，取消办学许可，改为备案管理。</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开展“双随机、一公开”监管，定期进行抽查检查，加强对民办学校的过程性指导，加大对违法违规办学行为的查处力度。2.推进民办教育信用信息公示制度，将民办学校的法人登记信息、行政许可信息、年度检查信息、监督检查结果、行政处罚信息向社会公示，强化信用约束。3.依法依规建立违规失信惩戒机制，将违规办学的学校及其举办者和负责人纳入黑名单，依法向社会公开，并对其今后在民办教育领域的许可申请实施重点监管。4.健全联合执法机制，通过跨部门的实时数据对接和信息共享，及时掌握和研判民办教育领域出现的新问题，积极主动予以应对。</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市教育局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3175"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公安部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公章刻制业特种行业许可证核发</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公章刻制业特种行业许可证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《国务院对确需保留的行政审批项目设定行政许可的决定》《印铸刻字业暂行管理规则》</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设区的市、县级公安机关</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取消“公章刻制业特种行业许可证核发”，改为备案管理。</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加强对备案内容真实性的核查，发现未依法备案、提供虚假备案材料、不符合法定条件的，依法进行处理。2.开展“双随机、一公开”监管，发现违法违规行为要依法查处并公开结果。3.加强跨部门联合监管和信用监管，依法依规对失信主体开展失信惩戒。4.加强公章刻制备案管理，督促公章刻制企业严格落实公章刻制备案管理要求，及时规范上传、报送公章刻制备案信息。</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市公安局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财政部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会计师事务所分支机构设立审批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会计师事务所分所执业证书</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《中华人民共和国注册会计师法》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省级财政部门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取消“会计师事务所分支机构设立审批”，改为备案管理。</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建立健全备案制度，推行网上备案，加强信息共享。2.开展“双随机、一公开”监管，并根据会计师事务所受到处罚情况、其他部门移交线索、群众举报等实施重点监管。3.加强信用监管，依法依规完善会计师事务所黑名单制度，并对失信主体开展失信惩戒。</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市财政局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商务部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从事拍卖业务许可</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拍卖经营批准证书</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《中华人民共和国拍卖法》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省级商务部门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取消“从事拍卖业务许可”，改为备案管理。</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1.加强备案管理，督促有关企业按规定报送信息。对未按规定备案或者备案信息不实的，会同有关部门依法调查处理并予以纠正。2.完善监管措施，加强对拍卖师的监督管理。</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市商务局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国家卫生健康委</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社会办医疗机构乙类大型医用设备配置许可</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乙类大型医用设备配置许可证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《医疗器械监督管理条例》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省级卫生健康部门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取消“社会办医疗机构乙类大型医用设备配置许可”，改为备案管理，不受大型医用设备配置规划限制。</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加强医疗机构执业活动监管，对有不良信用记录的医疗机构，提高监督检查频次，发现违法违规行为要依法查处并公开结果。2.加强信用监管，依法向社会公布有关医疗机构信用状况，对严重失信主体依法实施行业禁入措施。3.依法及时处理投诉举报。4.加强行业自律。</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市卫生健康委</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国家卫生健康委</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音乐厅、展览馆、博物馆、美术馆、图书馆、书店、录像厅（室）的公共场所卫生许可</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卫生许可证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《公共场所卫生管理条例》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县级以上地方卫生健康部门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对音乐厅、展览馆、博物馆、美术馆、图书馆、书店、录像厅（室），取消“公共场所卫生许可”，改为备案管理。</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1.开展“双随机、一公开”监管，发现违法违规行为要依法查处并公开结果。2.畅通投诉举报渠道，依法及时处理投诉举报。</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市卫生健康委</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海关总署</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音乐厅、展览馆、博物馆、美术馆、图书馆、书店、录像厅（室）的口岸卫生许可证核发</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国境口岸卫生许可证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《中华人民共和国国境卫生检疫法实施细则》</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主管海关</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对音乐厅、展览馆、博物馆、美术馆、图书馆、书店、录像厅（室），取消“口岸卫生许可证核发”，改为备案管理。</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1.开展“双随机、一公开”监管，发现违法违规行为要依法查处并公开结果。2.加强日常监管，向社会公布卫生状况存在严重问题的公共场所信息。</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深圳海关</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中国银保监会</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中资银行业金融机构分行级以下分支机构（不含分行）设立、变更、终止以及业务范围审批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1.机构设立类:金融许可证</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2.变更名称、住所:金融许可证（换发）</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3.其他:批准文件</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《中华人民共和国银行业监督管理法》《中华人民共和国商业银行法》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对中资银行业金融机构分行级以下分支机构（不含分行），取消“中资银行业金融机构及其分支机构设立、变更、终止以及业务范围审批”，改为备案管理。</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1.通过现场检查、非现场监管等方式，密切关注风险，发现违法违规行为要依法查处。2.加强信用监管，依法依规对失信主体开展失信惩戒。3.针对重点领域风险，健全有关制度，建立风险防范长效机制。</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深圳</w:t>
            </w:r>
            <w:r>
              <w:rPr>
                <w:rFonts w:hint="eastAsia" w:ascii="宋体" w:hAnsi="宋体" w:eastAsia="宋体" w:cs="宋体"/>
                <w:color w:val="auto"/>
                <w:kern w:val="0"/>
                <w:sz w:val="20"/>
                <w:szCs w:val="20"/>
                <w:lang w:eastAsia="zh-CN"/>
              </w:rPr>
              <w:t>银保</w:t>
            </w:r>
            <w:r>
              <w:rPr>
                <w:rFonts w:hint="eastAsia" w:ascii="宋体" w:hAnsi="宋体" w:eastAsia="宋体" w:cs="宋体"/>
                <w:color w:val="auto"/>
                <w:kern w:val="0"/>
                <w:sz w:val="20"/>
                <w:szCs w:val="20"/>
              </w:rPr>
              <w:t>监局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中国银保监会</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中资银行业金融机构分行级以下分支机构（不含分行）高级管理人员任职资格核准</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批准文件</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《中华人民共和国银行业监督管理法》《中华人民共和国商业银行法》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对中资银行业金融机构分行级以下分支机构（不含分行）的高级管理人员，取消任职资格核准，改为备案管理。</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通过监管约谈、走访督察等方式，持续对高级管理人员履职情况进行监管，督促高管依法履职。2.压实银行机构主体责任，督促机构把好选人用人关。3.加大对违法违规行为负有管理责任的高级管理人员的处罚力度。</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深圳</w:t>
            </w:r>
            <w:r>
              <w:rPr>
                <w:rFonts w:hint="eastAsia" w:ascii="宋体" w:hAnsi="宋体" w:eastAsia="宋体" w:cs="宋体"/>
                <w:color w:val="auto"/>
                <w:kern w:val="0"/>
                <w:sz w:val="20"/>
                <w:szCs w:val="20"/>
                <w:lang w:eastAsia="zh-CN"/>
              </w:rPr>
              <w:t>银保</w:t>
            </w:r>
            <w:r>
              <w:rPr>
                <w:rFonts w:hint="eastAsia" w:ascii="宋体" w:hAnsi="宋体" w:eastAsia="宋体" w:cs="宋体"/>
                <w:color w:val="auto"/>
                <w:kern w:val="0"/>
                <w:sz w:val="20"/>
                <w:szCs w:val="20"/>
              </w:rPr>
              <w:t>监局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中国银保监会</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外资银行分行级以下分支机构（不含分行）设立、变更、终止以及部分业务范围审批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1.机构设立类:金融许可证</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2.变更名称、住所:金融许可证（换发）</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3.其他:批准文件</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《中华人民共和国银行业监督管理法》《中华人民共和国外资银行管理条例》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对外资银行分行级以下分支机构（不含分行），取消“外资银行营业性机构及其分支机构设立、变更、终止以及部分业务范围审批”，改为备案管理。</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1.通过现场检查、非现场监管等方式，密切关注风险，发现违法违规行为要依法查处。2.加强信用监管，依法依规对失信主体开展失信惩戒。3.针对重点领域风险，健全有关制度，建立风险防范长效机制。</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深圳</w:t>
            </w:r>
            <w:r>
              <w:rPr>
                <w:rFonts w:hint="eastAsia" w:ascii="宋体" w:hAnsi="宋体" w:eastAsia="宋体" w:cs="宋体"/>
                <w:color w:val="auto"/>
                <w:kern w:val="0"/>
                <w:sz w:val="20"/>
                <w:szCs w:val="20"/>
                <w:lang w:eastAsia="zh-CN"/>
              </w:rPr>
              <w:t>银保</w:t>
            </w:r>
            <w:r>
              <w:rPr>
                <w:rFonts w:hint="eastAsia" w:ascii="宋体" w:hAnsi="宋体" w:eastAsia="宋体" w:cs="宋体"/>
                <w:color w:val="auto"/>
                <w:kern w:val="0"/>
                <w:sz w:val="20"/>
                <w:szCs w:val="20"/>
              </w:rPr>
              <w:t>监局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中国银保监会</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外资银行分行级以下分支机构（不含分行）高级管理人员任职资格核准</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批准文件</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《中华人民共和国银行业监督管理法》《中华人民共和国外资银行管理条例》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对外资银行分行级以下分支机构（不含分行）的高级管理人员，取消任职资格核准，改为备案管理。</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通过监管约谈、走访督察等方式，持续对高级管理人员履职情况进行监管，督促高管依法履职。2.压实银行机构主体责任，督促机构把好选人用人关。3.加大对违法违规行为负有管理责任的高级管理人员的处罚力度。</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深圳</w:t>
            </w:r>
            <w:r>
              <w:rPr>
                <w:rFonts w:hint="eastAsia" w:ascii="宋体" w:hAnsi="宋体" w:eastAsia="宋体" w:cs="宋体"/>
                <w:color w:val="auto"/>
                <w:kern w:val="0"/>
                <w:sz w:val="20"/>
                <w:szCs w:val="20"/>
                <w:lang w:eastAsia="zh-CN"/>
              </w:rPr>
              <w:t>银保</w:t>
            </w:r>
            <w:r>
              <w:rPr>
                <w:rFonts w:hint="eastAsia" w:ascii="宋体" w:hAnsi="宋体" w:eastAsia="宋体" w:cs="宋体"/>
                <w:color w:val="auto"/>
                <w:kern w:val="0"/>
                <w:sz w:val="20"/>
                <w:szCs w:val="20"/>
              </w:rPr>
              <w:t>监局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中国银保监会</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保险公司支公司及以下分支机构设立、重大事项变更、撤销审批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保险公司法人许可证、经营保险业务许可证、批准文件</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《中华人民共和国保险法》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对保险公司支公司及以下分支机构，取消“保险公司及其分支机构设立、重大事项变更、撤销审批”，改为备案管理。</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1.通过现场检查、非现场监管等方式，密切关注风险，发现违法违规行为要依法查处。2.加强信用监管，依法依规对失信主体开展失信惩戒。3.针对重点领域风险，健全有关制度，建立风险防范长效机制。</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深圳</w:t>
            </w:r>
            <w:r>
              <w:rPr>
                <w:rFonts w:hint="eastAsia" w:ascii="宋体" w:hAnsi="宋体" w:eastAsia="宋体" w:cs="宋体"/>
                <w:color w:val="auto"/>
                <w:kern w:val="0"/>
                <w:sz w:val="20"/>
                <w:szCs w:val="20"/>
                <w:lang w:eastAsia="zh-CN"/>
              </w:rPr>
              <w:t>银保</w:t>
            </w:r>
            <w:r>
              <w:rPr>
                <w:rFonts w:hint="eastAsia" w:ascii="宋体" w:hAnsi="宋体" w:eastAsia="宋体" w:cs="宋体"/>
                <w:color w:val="auto"/>
                <w:kern w:val="0"/>
                <w:sz w:val="20"/>
                <w:szCs w:val="20"/>
              </w:rPr>
              <w:t>监局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中国银保监会</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保险公司支公司及以下分支机构高级管理人员任职资格审批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批准文件</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《中华人民共和国保险法》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中国银保监会及其派出机构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对保险公司支公司及以下分支机构的高级管理人员，取消任职资格核准，改为备案管理。</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通过监管约谈、走访督察等方式，持续对高级管理人员履职情况进行监管，督促高管依法履职。2.压实保险公司主体责任，督促机构把好选人用人关。3.加大对违法违规行为负有管理责任高级管理人员的处罚力度。</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深圳</w:t>
            </w:r>
            <w:r>
              <w:rPr>
                <w:rFonts w:hint="eastAsia" w:ascii="宋体" w:hAnsi="宋体" w:eastAsia="宋体" w:cs="宋体"/>
                <w:color w:val="auto"/>
                <w:kern w:val="0"/>
                <w:sz w:val="20"/>
                <w:szCs w:val="20"/>
                <w:lang w:eastAsia="zh-CN"/>
              </w:rPr>
              <w:t>银保</w:t>
            </w:r>
            <w:r>
              <w:rPr>
                <w:rFonts w:hint="eastAsia" w:ascii="宋体" w:hAnsi="宋体" w:eastAsia="宋体" w:cs="宋体"/>
                <w:color w:val="auto"/>
                <w:kern w:val="0"/>
                <w:sz w:val="20"/>
                <w:szCs w:val="20"/>
              </w:rPr>
              <w:t>监局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国家药监局</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药品互联网信息服务审批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互联网药品信息服务资格证书</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《互联网信息服务管理办法》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省级药监部门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取消“药品互联网信息服务审批”，改为备案管理。</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建立完善药品网络销售规章制度，加强药品网络销售监测，提升监管效率。2.对各类违法违规网络销售药品行为依法查处、严厉打击。3.违法违规行为涉及通信管理等其他部门的，及时移交有关部门处置；涉嫌犯罪的，及时移送公安机关查处。</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市市场监管局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311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国家药监局</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医疗器械互联网信息服务审批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互联网药品信息服务资格证书</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《互联网信息服务管理办法》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省级药监部门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取消“医疗器械互联网信息服务审批”，改为备案管理。</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加强线上线下监管，严厉打击提供不真实互联网医疗器械信息服务、利用网络违规销售医疗器械等行为，对发现的违法违规行为依法查处，及时公开处罚结果。2.违法违规行为涉及通信管理等其他部门的，及时移交有关部门处置；涉嫌犯罪的，及时移送公安机关查处。</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市市场监管局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4705" w:hRule="exact"/>
          <w:jc w:val="center"/>
        </w:trPr>
        <w:tc>
          <w:tcPr>
            <w:tcW w:w="5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30</w:t>
            </w:r>
          </w:p>
        </w:tc>
        <w:tc>
          <w:tcPr>
            <w:tcW w:w="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工业和信息化部</w:t>
            </w:r>
          </w:p>
        </w:tc>
        <w:tc>
          <w:tcPr>
            <w:tcW w:w="10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电信业务（第二类增值电信业务）经营许可</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电信业务经营许可证</w:t>
            </w:r>
          </w:p>
        </w:tc>
        <w:tc>
          <w:tcPr>
            <w:tcW w:w="10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《中华人民共和国电信条例》</w:t>
            </w:r>
          </w:p>
        </w:tc>
        <w:tc>
          <w:tcPr>
            <w:tcW w:w="10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工业和信息化部；省级通信管理局</w:t>
            </w:r>
          </w:p>
        </w:tc>
        <w:tc>
          <w:tcPr>
            <w:tcW w:w="4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对以告知承诺方式取得许可（包括变更许可范围）的经营者，加强对其承诺内容真实性的例行核查，发现实际情况与承诺不符的，依法予以处理。2.加强对经营者经营行为的监测，督促经营者按照规定报送信息。3.开展“双随机、一公开”监管，按照不同业务类型、信用水平等，合理确定抽查比例。4.对社会关注度高、有不良记录的经营者实施重点监管。5.加强行政执法，对违反电信管理规定的，依法予以查处并公开结果。6.加强信用监管，公布电信业务经营失信名单，依法依规对失信主体开展失信惩戒。</w:t>
            </w:r>
          </w:p>
        </w:tc>
        <w:tc>
          <w:tcPr>
            <w:tcW w:w="114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按照工业和信息化部、省级通信管理局的部署落实</w:t>
            </w:r>
          </w:p>
        </w:tc>
        <w:tc>
          <w:tcPr>
            <w:tcW w:w="6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4535"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人力资源社会保障部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劳务派遣经营许可</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劳务派遣经营许可证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《中华人民共和国劳动合同法》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县级以上地方人力资源社会保障部门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对以告知承诺方式取得经营许可的劳务派遣单位，加强对其承诺真实性的核查，发现虚假承诺或者承诺严重不实的要依法依规处理。2.加强劳动保障监察执法，开展“双随机、一公开”监管，对取得劳务派遣许可证满一年但未报告年度经营情况或未开展经营活动的劳务派遣单位定期开展检查。3.对劳务派遣单位进行信用评价、风险评估或者黑名单管理，依法向社会公布劳务派遣单位信用状况，依法依规对失信主体开展失信惩戒。</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市人力资源保障局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3317"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住房城乡建设部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房地产开发企业二级资质核定</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房地产开发企业资质证书</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《中华人民共和国城市房地产管理法》《城市房地产开发经营管理条例》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县级以上地方住房城乡建设部门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1.开展“双随机、一公开”监管，对企业履行承诺情况进行监督检查，依法查处违法违规行为并公开结果。2.加强信用监管，依法依规对失信主体开展失信惩戒。3.发挥行业协会自律作用。</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前海蛇口自贸片区管委会</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住房城乡建设部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建筑业企业资质认定（建筑工程、市政公用工程施工总承包甲级）</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建筑业企业资质证书</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《中华人民共和国建筑法》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住房城乡建设部；省级住房城乡建设部门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依法依规对失信主体开展失信惩戒。</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highlight w:val="none"/>
                <w:lang w:eastAsia="zh-CN"/>
              </w:rPr>
              <w:t>按照</w:t>
            </w:r>
            <w:r>
              <w:rPr>
                <w:rFonts w:hint="eastAsia" w:ascii="宋体" w:hAnsi="宋体" w:eastAsia="宋体" w:cs="宋体"/>
                <w:color w:val="auto"/>
                <w:kern w:val="0"/>
                <w:sz w:val="20"/>
                <w:szCs w:val="20"/>
                <w:highlight w:val="none"/>
              </w:rPr>
              <w:t>住房城乡建设部</w:t>
            </w:r>
            <w:r>
              <w:rPr>
                <w:rFonts w:hint="eastAsia" w:ascii="宋体" w:hAnsi="宋体" w:eastAsia="宋体" w:cs="宋体"/>
                <w:color w:val="auto"/>
                <w:kern w:val="0"/>
                <w:sz w:val="20"/>
                <w:szCs w:val="20"/>
                <w:highlight w:val="none"/>
                <w:lang w:eastAsia="zh-CN"/>
              </w:rPr>
              <w:t>和省级住房城乡建设部门的部署落实</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34</w:t>
            </w:r>
          </w:p>
        </w:tc>
        <w:tc>
          <w:tcPr>
            <w:tcW w:w="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住房城乡建设部</w:t>
            </w:r>
          </w:p>
        </w:tc>
        <w:tc>
          <w:tcPr>
            <w:tcW w:w="10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建筑业企业资质认定（部分施工总承包乙级、部分专业承包、燃气燃烧器具安装维修企业）</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建筑业企业资质证书</w:t>
            </w:r>
          </w:p>
        </w:tc>
        <w:tc>
          <w:tcPr>
            <w:tcW w:w="10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《中华人民共和国建筑法》</w:t>
            </w:r>
          </w:p>
        </w:tc>
        <w:tc>
          <w:tcPr>
            <w:tcW w:w="10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设区的市级住房城乡建设部门</w:t>
            </w:r>
          </w:p>
        </w:tc>
        <w:tc>
          <w:tcPr>
            <w:tcW w:w="4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依法依规对失信主体开展失信惩戒。</w:t>
            </w:r>
          </w:p>
        </w:tc>
        <w:tc>
          <w:tcPr>
            <w:tcW w:w="114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市住房建设局</w:t>
            </w:r>
          </w:p>
        </w:tc>
        <w:tc>
          <w:tcPr>
            <w:tcW w:w="6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35</w:t>
            </w:r>
          </w:p>
        </w:tc>
        <w:tc>
          <w:tcPr>
            <w:tcW w:w="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住房城乡建设部</w:t>
            </w:r>
          </w:p>
        </w:tc>
        <w:tc>
          <w:tcPr>
            <w:tcW w:w="10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建筑业企业资质认定（部分施工总承包甲级、乙级，部分专业承包）</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建筑业企业资质证书</w:t>
            </w:r>
          </w:p>
        </w:tc>
        <w:tc>
          <w:tcPr>
            <w:tcW w:w="10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《中华人民共和国建筑法》</w:t>
            </w:r>
          </w:p>
        </w:tc>
        <w:tc>
          <w:tcPr>
            <w:tcW w:w="10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省级住房城乡建设部门</w:t>
            </w:r>
          </w:p>
        </w:tc>
        <w:tc>
          <w:tcPr>
            <w:tcW w:w="4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依法依规对失信主体开展失信惩戒。</w:t>
            </w:r>
          </w:p>
        </w:tc>
        <w:tc>
          <w:tcPr>
            <w:tcW w:w="114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highlight w:val="none"/>
                <w:lang w:eastAsia="zh-CN"/>
              </w:rPr>
              <w:t>按照省级</w:t>
            </w:r>
            <w:r>
              <w:rPr>
                <w:rFonts w:hint="eastAsia" w:ascii="宋体" w:hAnsi="宋体" w:eastAsia="宋体" w:cs="宋体"/>
                <w:color w:val="auto"/>
                <w:kern w:val="0"/>
                <w:sz w:val="20"/>
                <w:szCs w:val="20"/>
                <w:highlight w:val="none"/>
              </w:rPr>
              <w:t>住房城乡建设</w:t>
            </w:r>
            <w:r>
              <w:rPr>
                <w:rFonts w:hint="eastAsia" w:ascii="宋体" w:hAnsi="宋体" w:eastAsia="宋体" w:cs="宋体"/>
                <w:color w:val="auto"/>
                <w:kern w:val="0"/>
                <w:sz w:val="20"/>
                <w:szCs w:val="20"/>
                <w:highlight w:val="none"/>
                <w:lang w:eastAsia="zh-CN"/>
              </w:rPr>
              <w:t>部门的部署落实</w:t>
            </w:r>
          </w:p>
        </w:tc>
        <w:tc>
          <w:tcPr>
            <w:tcW w:w="6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36</w:t>
            </w:r>
          </w:p>
        </w:tc>
        <w:tc>
          <w:tcPr>
            <w:tcW w:w="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住房城乡建设部</w:t>
            </w:r>
          </w:p>
        </w:tc>
        <w:tc>
          <w:tcPr>
            <w:tcW w:w="10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建设工程勘察企业资质认定（乙级）</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工程勘察资质证书</w:t>
            </w:r>
          </w:p>
        </w:tc>
        <w:tc>
          <w:tcPr>
            <w:tcW w:w="10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《中华人民共和国建筑法》</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《建设工程勘察设计管理条例》</w:t>
            </w:r>
          </w:p>
        </w:tc>
        <w:tc>
          <w:tcPr>
            <w:tcW w:w="10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设区的市级住房城乡建设部门</w:t>
            </w:r>
          </w:p>
        </w:tc>
        <w:tc>
          <w:tcPr>
            <w:tcW w:w="4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依法依规对失信主体开展失信惩戒。</w:t>
            </w:r>
          </w:p>
        </w:tc>
        <w:tc>
          <w:tcPr>
            <w:tcW w:w="114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市住房建设局</w:t>
            </w:r>
          </w:p>
        </w:tc>
        <w:tc>
          <w:tcPr>
            <w:tcW w:w="6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37</w:t>
            </w:r>
          </w:p>
        </w:tc>
        <w:tc>
          <w:tcPr>
            <w:tcW w:w="6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住房城乡建设部</w:t>
            </w:r>
          </w:p>
        </w:tc>
        <w:tc>
          <w:tcPr>
            <w:tcW w:w="10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建设工程设计企业资质认定（部分乙级）</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工程设计资质证书</w:t>
            </w:r>
          </w:p>
        </w:tc>
        <w:tc>
          <w:tcPr>
            <w:tcW w:w="10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《中华人民共和国建筑法》</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《建设工程勘察设计管理条例》</w:t>
            </w:r>
          </w:p>
        </w:tc>
        <w:tc>
          <w:tcPr>
            <w:tcW w:w="10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设区的市级住房城乡建设部门</w:t>
            </w:r>
          </w:p>
        </w:tc>
        <w:tc>
          <w:tcPr>
            <w:tcW w:w="46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依法依规对失信主体开展失信惩戒。</w:t>
            </w:r>
          </w:p>
        </w:tc>
        <w:tc>
          <w:tcPr>
            <w:tcW w:w="114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市住房建设局</w:t>
            </w:r>
          </w:p>
        </w:tc>
        <w:tc>
          <w:tcPr>
            <w:tcW w:w="6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住房城乡建设部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工程监理企业资质认定（房屋建筑工程、市政公用工程专业甲级）</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工程监理资质证书</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《中华人民共和国建筑法》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住房城乡建设部；省级住房城乡建设部门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依法依规对失信主体开展失信惩戒。</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highlight w:val="none"/>
                <w:lang w:eastAsia="zh-CN"/>
              </w:rPr>
              <w:t>按照</w:t>
            </w:r>
            <w:r>
              <w:rPr>
                <w:rFonts w:hint="eastAsia" w:ascii="宋体" w:hAnsi="宋体" w:eastAsia="宋体" w:cs="宋体"/>
                <w:color w:val="auto"/>
                <w:kern w:val="0"/>
                <w:sz w:val="20"/>
                <w:szCs w:val="20"/>
                <w:highlight w:val="none"/>
              </w:rPr>
              <w:t>住房城乡建设部</w:t>
            </w:r>
            <w:r>
              <w:rPr>
                <w:rFonts w:hint="eastAsia" w:ascii="宋体" w:hAnsi="宋体" w:eastAsia="宋体" w:cs="宋体"/>
                <w:color w:val="auto"/>
                <w:kern w:val="0"/>
                <w:sz w:val="20"/>
                <w:szCs w:val="20"/>
                <w:highlight w:val="none"/>
                <w:lang w:eastAsia="zh-CN"/>
              </w:rPr>
              <w:t>和省级住房城乡建设部门的部署落实</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551"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住房城乡建设部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工程监理企业资质认定（专业乙级）</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工程监理资质证书</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《中华人民共和国建筑法》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省级、设区的市级住房城乡建设部门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依法依规对失信主体开展失信惩戒。</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highlight w:val="none"/>
                <w:lang w:eastAsia="zh-CN"/>
              </w:rPr>
              <w:t>按照省级</w:t>
            </w:r>
            <w:r>
              <w:rPr>
                <w:rFonts w:hint="eastAsia" w:ascii="宋体" w:hAnsi="宋体" w:eastAsia="宋体" w:cs="宋体"/>
                <w:color w:val="auto"/>
                <w:kern w:val="0"/>
                <w:sz w:val="20"/>
                <w:szCs w:val="20"/>
                <w:highlight w:val="none"/>
              </w:rPr>
              <w:t>住房城乡建设</w:t>
            </w:r>
            <w:r>
              <w:rPr>
                <w:rFonts w:hint="eastAsia" w:ascii="宋体" w:hAnsi="宋体" w:eastAsia="宋体" w:cs="宋体"/>
                <w:color w:val="auto"/>
                <w:kern w:val="0"/>
                <w:sz w:val="20"/>
                <w:szCs w:val="20"/>
                <w:highlight w:val="none"/>
                <w:lang w:eastAsia="zh-CN"/>
              </w:rPr>
              <w:t>部门的部署落实</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041"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住房城乡建设部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建筑施工企业安全生产许可证核发</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建筑施工企业安全生产许可证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《安全生产许可证条例》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省级住房城乡建设部门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1.发现企业不符合承诺条件开展经营的责令限期整改，逾期不整改或整改后仍达不到要求的依法撤销许可证件。2.对企业安全生产管理不到位造成事故的，加大行政处罚力度。</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按照省级住房城乡建设部门的部署落实</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3231"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交通运输部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经营国内船舶管理业务审批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国内船舶管理业务经营许可证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《国内水路运输管理条例》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省、设区的市级水路运输部门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开展“双随机、一公开”监管，对诚信状况差、投诉举报多、受处罚警告多的经营主体提高抽查比例。2.加强对国内船舶管理企业的年度书面检查，发现不具备经营许可条件的要依法及时处理。3.对不符合承诺条件开展经营的要责令限期整改，逾期不整改或整改后仍达不到要求的，要依法撤销许可证件，且在规定期限内不得再通过告知承诺方式办理该项审批。</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市交通运输局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交通运输部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从事海员外派业务审批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海洋船舶船员服务机构资质证书</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《对外劳务合作管理条例》</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《中华人民共和国船员条例》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交通运输部直属海事局</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1.开展“双随机、一公开”监管，发现违法违规行为要依法查处并公开结果。2.加强信用监管，依法向社会公布有关企业信用记录，依法依规对失信主体开展失信惩戒。3.依法及时处理投诉举报。</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深圳海事局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交通运输部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建设港口设施使用非深水岸线审批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批准文件</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《中华人民共和国港口法》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县级以上地方交通运输（港口）部门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加强信用监管，将港口岸线使用有关信用信息纳入相关信用信息共享平台并向社会公布。</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市交通运输局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交通运输部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路基路面养护作业单位乙级资质审批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公路养护作业资质证书</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《公路安全保护条例》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省级交通运输部门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开展“双随机、一公开”监管，发现违法违规行为要依法查处并公开结果。2.探索运用网络监督、大数据分析等多元化手段，对企业取得公路养护作业资质证书后是否符合资质标准及其市场行为加强监管。3.加强信用监管，拓展信用评价结果应用范围，依法依规开展失信惩戒。</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highlight w:val="none"/>
                <w:lang w:eastAsia="zh-CN"/>
              </w:rPr>
              <w:t>按照省级</w:t>
            </w:r>
            <w:r>
              <w:rPr>
                <w:rFonts w:hint="eastAsia" w:ascii="宋体" w:hAnsi="宋体" w:eastAsia="宋体" w:cs="宋体"/>
                <w:color w:val="auto"/>
                <w:kern w:val="0"/>
                <w:sz w:val="20"/>
                <w:szCs w:val="20"/>
                <w:highlight w:val="none"/>
              </w:rPr>
              <w:t>交通运输</w:t>
            </w:r>
            <w:r>
              <w:rPr>
                <w:rFonts w:hint="eastAsia" w:ascii="宋体" w:hAnsi="宋体" w:eastAsia="宋体" w:cs="宋体"/>
                <w:color w:val="auto"/>
                <w:kern w:val="0"/>
                <w:sz w:val="20"/>
                <w:szCs w:val="20"/>
                <w:highlight w:val="none"/>
                <w:lang w:eastAsia="zh-CN"/>
              </w:rPr>
              <w:t>部门的部署落实</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891"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水利部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水利工程建设监理单位乙级资质认定</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水利工程建设监理单位资质等级证书（乙级）</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《国务院对确需保留的行政审批项目设定行政许可的决定》</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水利部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开展“双随机、一公开”监管，对投诉举报多的单位实施重点监管，加强对企业承诺内容真实性的核查，对虚假承诺或者承诺严重不实的依法依规处理。2.加强信用监管，依法向社会公布水利工程建设监理单位（乙级）信用状况，对失信主体加大抽查比例并开展失信惩戒。</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sz w:val="20"/>
                <w:szCs w:val="20"/>
              </w:rPr>
              <w:t>按照水利部的部署落实</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26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农业农村部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食用菌菌种生产经营许可证核发</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食用菌菌种生产经营许可证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《中华人民共和国种子法》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县级以上地方农业农村部门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取消“食用菌菌种生产经营许可证核发”。</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1.开展“双随机、一公开”监管，严肃查处虚假承诺行为。2.加强信用监管，依法向社会公布种业企业信用状况，依法依规对失信主体开展失信惩戒。</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市市场监管局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农业农村部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种畜禽生产经营许可</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种畜禽生产经营许可证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《中华人民共和国畜牧法》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县级以上地方农业农村部门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1.开展“双随机、一公开”监管，严肃查处虚假承诺行为。2.加强信用监管，依法向社会公布种业企业信用状况，依法依规对失信主体开展失信惩戒。</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市市场监管局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农业农村部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蜂种生产经营许可证核发</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蜂种生产经营许可证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《中华人民共和国畜牧法》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县级以上地方农业农村部门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1.开展“双随机、一公开”监管，严肃查处虚假承诺行为。2.加强信用监管，依法向社会公布种业企业信用状况，依法依规对失信主体开展失信惩戒。</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市市场监管局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49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农业农村部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蚕种生产经营许可证核发</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蚕种生产经营许可证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《中华人民共和国畜牧法》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县级以上地方农业农村部门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取消“蚕种生产经营许可证核发”。</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1.开展“双随机、一公开”监管。2.加强信用监管，依法向社会公布种业企业信用状况，依法依规对失信主体开展失信惩戒。</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市市场监管局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农业农村部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生猪定点屠宰厂（场）设置审查</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生猪定点屠宰证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《生猪屠宰管理条例》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设区的市级人民政府</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开展“双随机、一公开”监管，根据不同的风险程度、信用水平，科学确定抽查比例。2.强化社会监督，依法及时处理投诉举报。3.加强行业监测，针对发现的普遍性问题和突出风险开展专项行动，确保不发生系统性、区域性风险。4.强化政府内部信息共享和核查。</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市市场监管局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农业农村部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渔业捕捞许可证审批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渔业捕捞许可证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《中华人民共和国渔业法》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县级以上农业农村（渔业）部门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1.加强对企业承诺内容真实性的核查，发现虚假承诺或者承诺严重不实的要依法处理。2.开展“双随机、一公开”监管，及时处理投诉举报，依法查处违法违规行为。3.加强信用监管。</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市规划和自然资源局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农业农村部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生鲜乳准运证明核发</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生鲜乳准运证明</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《乳品质量安全监督管理条例》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县级农业农村（畜牧兽医）部门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1.开展“双随机、一公开”监管，发现违法违规行为要依法查处并公开结果。2.加强对生鲜乳运输车辆的监管，将车辆全部纳入监管监测信息系统，实时掌握运营情况。</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市市场监管局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农业农村部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兽药经营许可证核发（非生物制品类）</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兽药经营许可证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《兽药管理条例》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设区的市、县级农业农村部门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对以告知承诺方式取得经营许可证的企业，加强对其承诺内容真实性的核查，发现虚假承诺或承诺严重不实的要依法处理。2.开展“双随机、一公开”监管，对风险等级高、投诉举报多的企业增加抽检数量和频次，实施重点监管。</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市市场监管局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农业农村部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动物诊疗许可证核发</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动物诊疗许可证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《中华人民共和国动物防疫法》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县级以上地方农业农村部门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1.开展“双随机、一公开”监管，发现违法违规行为要依法查处并公开结果。2.对以告知承诺方式取得经营许可证的企业，加强对其承诺内容真实性的核查，发现虚假承诺或承诺严重不实的要依法处理。</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市市场监管局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农业农村部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水产苗种场（不含原种场）的水产苗种生产许可证核发</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水产苗种生产许可证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《中华人民共和国渔业法》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设区的市、县级农业农村（渔业）部门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1.加强对企业承诺内容真实性的核查，发现虚假承诺或者承诺严重不实的要依法处理。2.开展“双随机、一公开”监管，及时处理投诉举报，依法查处违法违规行为。3.加强信用监管。</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市规划和自然资源局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商务部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对外劳务合作经营资格核准</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对外劳务合作经营资格证书</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《中华人民共和国对外贸易法》《对外劳务合作管理条例》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省、设区的市级商务部门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1.开展“双随机、一公开”监管，发现违法违规行为要依法查处并公开结果。2.支持行业协会发挥自律作用。</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市商务局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文化和旅游部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旅行社设立许可</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旅行社业务经营许可证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《中华人民共和国旅游法》</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《旅行社条例》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省、设区的市级文化和旅游部门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1.开展“双随机、一公开”监管，发现未经许可经营旅行社业务，出租、出借、转让业务经营许可证等违法违规行为的，要依法查处并公开结果。2.加强信用监管，依法依规对失信主体开展失信惩戒。</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市文化广电旅游体育局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国家卫生健康委</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生产用于传染病防治的消毒产品的单位审批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消毒产品生产企业卫生许可证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《中华人民共和国传染病防治法》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省级卫生健康部门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1.开展“双随机、一公开”监管，发现违法违规行为要依法查处并公开结果。2.开展消毒产品生产企业分类监督、综合评价工作。</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市卫生健康委</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59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国家卫生健康委</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麻醉药品和第一类精神药品购用许可</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麻醉药品和第一类精神药品购用印鉴卡</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《麻醉药品和精神药品管理条例》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设区的市级卫生健康部门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通过医疗机构电子化注册系统，及时掌握医疗机构登记注册信息。2.继续推行印鉴卡电子化管理，及时掌握麻醉药品和第一类精神药品采购和使用量等信息。3.通过医疗机构合理用药考核工作，对麻醉药品和第一类精神药品的管理加强监督检查和指导。</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市卫生健康委</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381"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60</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应急部</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危险化学品经营（无储存）许可证核发</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危险化学品经营许可证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《危险化学品安全管理条例》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设区的市、县级应急管理部门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1.开展“双随机、一公开”监管，发现违法违规行为要依法查处并公开结果。2.加强信用监管，依法向社会公布危险化学品经营企业信用状况，依法依规对失信主体开展失信惩戒。</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市应急管理局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381"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61</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市场监管总局</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食品生产许可（低风险食品）</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食品生产许可证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《中华人民共和国食品安全法》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县级以上地方市场监管部门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在发放许可证后30个工作日内对食品生产主体实施监督检查，对检查发现不能保证食品安全的企业撤销食品生产许可，对违法违规企业依法查处。</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市市场监管局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3061"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62</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广电总局</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广播电视视频点播业务（乙种）审批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广播电视视频点播业务许可证（乙种）</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《国务院对确需保留的行政审批项目设定行政许可的决定》</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省级广电部门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属地广电部门切实履行管理职责，采取有效措施防止违法违规内容播出，开展“双随机、一公开”监管，发现违法违规行为要依法查处并公开结果。2.通过实地检查、广播电视监测系统监测等方式，对广播电视视频点播单位业务开展情况及播出内容进行监测监看。3.依法及时处理投诉举报，对投诉举报等渠道反映问题多的单位实施重点监管。</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市文化广电旅游体育局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63</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广电总局</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广播电视节目制作经营单位设立审批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广播电视节目制作经营许可证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《广播电视管理条例》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广电总局；省级广电部门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通过审核股权构成、加强日常监听监看、受理群众举报等途径，对企业经营情况进行监管。发现企业不符合承诺条件开展经营的责令限期整改，逾期不整改或整改后仍达不到要求的依法撤销许可证件。</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市文化广电旅游体育局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64</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体育总局</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经营高危险性体育项目许可</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经营高危险性体育项目许可证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《全民健身条例》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县级以上地方体育部门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开展“双随机、一公开”监管，发现违法违规行为要依法查处并公开结果。2.建立健全跨区域、跨层级、跨部门协同监管制度，推进联合执法。3.加强信用监管，将有严重违法违规行为的机构列入黑名单，依法依规对相关经营主体和从业人员实施信用约束和失信惩戒。</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市文化广电旅游体育局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60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65</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新闻出版署</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出版物零售个体工商户设立、变更审批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出版物经营许可证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《出版管理条例》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县级新闻出版部门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开展“双随机、一公开”监管，发现违法违规行为要依法查处并公开结果。2.发现企业不符合承诺条件开展经营的责令限期整改，逾期不整改或整改后仍达不到要求的依法撤销许可证件。3.依法及时处理投诉举报。</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市新闻出版局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3458"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66</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中国气象局</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升放无人驾驶自由气球、系留气球单位资质认定</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升放气球资质证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《国务院对确需保留的行政审批项目设定行政许可的决定》</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省、设区的市级气象主管机构</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加强对承诺内容真实性的核查，发现取得资质单位不符合承诺条件开展经营的责令限期整改，逾期不整改或整改后仍达不到要求的依法撤销许可证件。2.通过“双随机、一公开”监管、跨部门联合监管等方式，对升放无人驾驶自由气球、系留气球活动实施严格监管，发现违法违规行为要依法查处并公开结果。3.加强对升放气球行为的法律法规和科普宣传，提高升放单位和社会公众的安全意识。</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市气象局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183"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67</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国家烟草局</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设立烟叶收购站（点）审批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烟草专卖烟叶收购证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《中华人民共和国烟草专卖法实施条例》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设区的市级烟草部门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1.严格管理烟叶收购经营秩序，除个别地区另有规定外，严禁烟草公司以外市场主体从事烟叶收购。2.开展“双随机、一公开”监管，发现违法违规行为要依法查处并公开结果。3.根据投诉举报开展重点检查。</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eastAsia="zh-CN"/>
              </w:rPr>
              <w:t>深圳</w:t>
            </w:r>
            <w:r>
              <w:rPr>
                <w:rFonts w:hint="eastAsia" w:ascii="宋体" w:hAnsi="宋体" w:eastAsia="宋体" w:cs="宋体"/>
                <w:color w:val="auto"/>
                <w:kern w:val="0"/>
                <w:sz w:val="20"/>
                <w:szCs w:val="20"/>
              </w:rPr>
              <w:t>市烟草</w:t>
            </w:r>
            <w:r>
              <w:rPr>
                <w:rFonts w:hint="eastAsia" w:ascii="宋体" w:hAnsi="宋体" w:eastAsia="宋体" w:cs="宋体"/>
                <w:color w:val="auto"/>
                <w:kern w:val="0"/>
                <w:sz w:val="20"/>
                <w:szCs w:val="20"/>
                <w:lang w:eastAsia="zh-CN"/>
              </w:rPr>
              <w:t>专卖</w:t>
            </w:r>
            <w:r>
              <w:rPr>
                <w:rFonts w:hint="eastAsia" w:ascii="宋体" w:hAnsi="宋体" w:eastAsia="宋体" w:cs="宋体"/>
                <w:color w:val="auto"/>
                <w:kern w:val="0"/>
                <w:sz w:val="20"/>
                <w:szCs w:val="20"/>
              </w:rPr>
              <w:t>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2183"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68</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国家文物局</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文物商店设立审批</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批准文件</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《中华人民共和国文物保护法》</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省级文物部门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1.加强对文物商店经营活动的日常巡查和随机抽查，发现问题及时依法处理。2.开展文物购销记录信息抽检。3.公开文物商店名录，接受社会监督，依法及时处理投诉举报。</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sz w:val="20"/>
                <w:szCs w:val="20"/>
              </w:rPr>
              <w:t>按照</w:t>
            </w:r>
            <w:r>
              <w:rPr>
                <w:rFonts w:hint="eastAsia" w:ascii="宋体" w:hAnsi="宋体" w:eastAsia="宋体" w:cs="宋体"/>
                <w:color w:val="auto"/>
                <w:kern w:val="0"/>
                <w:sz w:val="20"/>
                <w:szCs w:val="20"/>
                <w:lang w:bidi="ar"/>
              </w:rPr>
              <w:t>省级文物部门的部署落实</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r>
        <w:tblPrEx>
          <w:tblCellMar>
            <w:top w:w="0" w:type="dxa"/>
            <w:left w:w="108" w:type="dxa"/>
            <w:bottom w:w="0" w:type="dxa"/>
            <w:right w:w="108" w:type="dxa"/>
          </w:tblCellMar>
        </w:tblPrEx>
        <w:trPr>
          <w:cantSplit/>
          <w:trHeight w:val="3260" w:hRule="exact"/>
          <w:jc w:val="center"/>
        </w:trPr>
        <w:tc>
          <w:tcPr>
            <w:tcW w:w="54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105" w:leftChars="-50" w:right="-105" w:rightChars="-50"/>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69</w:t>
            </w:r>
          </w:p>
        </w:tc>
        <w:tc>
          <w:tcPr>
            <w:tcW w:w="61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国家药监局</w:t>
            </w:r>
          </w:p>
        </w:tc>
        <w:tc>
          <w:tcPr>
            <w:tcW w:w="102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化妆品生产许可（延续）</w:t>
            </w:r>
          </w:p>
        </w:tc>
        <w:tc>
          <w:tcPr>
            <w:tcW w:w="1080"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化妆品生产许可证</w:t>
            </w:r>
          </w:p>
        </w:tc>
        <w:tc>
          <w:tcPr>
            <w:tcW w:w="10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《化妆品监督管理条例》</w:t>
            </w:r>
          </w:p>
        </w:tc>
        <w:tc>
          <w:tcPr>
            <w:tcW w:w="10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省级药监部门</w:t>
            </w:r>
          </w:p>
        </w:tc>
        <w:tc>
          <w:tcPr>
            <w:tcW w:w="46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45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245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制作并公布告知承诺书格式文本，一次性告知申请人许可条件和所需材料。对申请人自愿承诺符合许可条件并按要求提交材料的，当场作出许可决定。</w:t>
            </w:r>
          </w:p>
        </w:tc>
        <w:tc>
          <w:tcPr>
            <w:tcW w:w="3031"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加强化妆品监督抽检，对检验不合格产品依法查处并公开结果。2.加强对化妆品生产企业的飞行检查，发现违法行为依法查处并公开结果。3.加强化妆品不良反应监测，对发生严重不良反应的产品及其生产企业依法进行调查，发现违法违规行为要依法查处。</w:t>
            </w:r>
          </w:p>
        </w:tc>
        <w:tc>
          <w:tcPr>
            <w:tcW w:w="114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市市场监管局</w:t>
            </w:r>
          </w:p>
        </w:tc>
        <w:tc>
          <w:tcPr>
            <w:tcW w:w="637"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auto"/>
                <w:kern w:val="0"/>
                <w:sz w:val="20"/>
                <w:szCs w:val="20"/>
              </w:rPr>
            </w:pPr>
          </w:p>
        </w:tc>
      </w:tr>
    </w:tbl>
    <w:p>
      <w:pPr>
        <w:rPr>
          <w:rFonts w:hint="eastAsia" w:ascii="仿宋_GB2312" w:hAnsi="仿宋_GB2312" w:eastAsia="仿宋_GB2312" w:cs="仿宋_GB2312"/>
          <w:color w:val="auto"/>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sectPr>
      <w:footerReference r:id="rId3" w:type="default"/>
      <w:pgSz w:w="16838" w:h="11906" w:orient="landscape"/>
      <w:pgMar w:top="1440" w:right="1134" w:bottom="1440" w:left="1134" w:header="851" w:footer="992" w:gutter="0"/>
      <w:pgNumType w:fmt="decimal"/>
      <w:cols w:space="720" w:num="1"/>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4A7A11"/>
    <w:rsid w:val="174A7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香洲区</Company>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2022-03-03T07:35:00Z</dcterms:created>
  <dc:creator>-Jus</dc:creator>
  <cp:lastModifiedBy>-Jus</cp:lastModifiedBy>
  <dcterms:modified xsi:type="dcterms:W3CDTF">2022-03-03T07:36:23Z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7E85F9ECA3AC4A2EBA7C68513DA5DDA3</vt:lpwstr>
  </property>
</Properties>
</file>